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ind w:right="164.17322834645688"/>
        <w:rPr>
          <w:b w:val="1"/>
          <w:bCs w:val="1"/>
          <w:sz w:val="18"/>
          <w:szCs w:val="18"/>
        </w:rPr>
      </w:pPr>
      <w:r w:rsidDel="00000000" w:rsidR="00000000" w:rsidRPr="00000000">
        <w:rPr>
          <w:b w:val="1"/>
          <w:bCs w:val="1"/>
          <w:sz w:val="18"/>
          <w:szCs w:val="18"/>
        </w:rPr>
        <w:drawing>
          <wp:inline distB="0" distT="0" distL="0" distR="0">
            <wp:extent cx="1419225" cy="497205"/>
            <wp:effectExtent b="0" l="0" r="0" t="0"/>
            <wp:docPr id="120182250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419225" cy="497205"/>
                    </a:xfrm>
                    <a:prstGeom prst="rect"/>
                    <a:ln/>
                  </pic:spPr>
                </pic:pic>
              </a:graphicData>
            </a:graphic>
          </wp:inline>
        </w:drawing>
      </w:r>
      <w:r w:rsidDel="00000000" w:rsidR="00000000" w:rsidRPr="00000000">
        <w:rPr>
          <w:b w:val="1"/>
          <w:bCs w:val="1"/>
          <w:sz w:val="18"/>
          <w:szCs w:val="18"/>
        </w:rPr>
        <w:drawing>
          <wp:inline distB="0" distT="0" distL="0" distR="0">
            <wp:extent cx="1668145" cy="380365"/>
            <wp:effectExtent b="0" l="0" r="0" t="0"/>
            <wp:docPr id="120182250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68145" cy="380365"/>
                    </a:xfrm>
                    <a:prstGeom prst="rect"/>
                    <a:ln/>
                  </pic:spPr>
                </pic:pic>
              </a:graphicData>
            </a:graphic>
          </wp:inline>
        </w:drawing>
      </w:r>
      <w:r w:rsidDel="00000000" w:rsidR="00000000" w:rsidRPr="00000000">
        <w:rPr>
          <w:b w:val="1"/>
          <w:bCs w:val="1"/>
          <w:sz w:val="18"/>
          <w:szCs w:val="18"/>
          <w:rtl w:val="0"/>
        </w:rPr>
        <w:t xml:space="preserve"> </w:t>
      </w:r>
    </w:p>
    <w:p w:rsidR="00000000" w:rsidDel="00000000" w:rsidP="00000000" w:rsidRDefault="00000000" w:rsidRPr="00000000" w14:paraId="00000003">
      <w:pPr>
        <w:spacing w:line="240" w:lineRule="auto"/>
        <w:ind w:right="164.17322834645688"/>
        <w:rPr>
          <w:b w:val="1"/>
          <w:bCs w:val="1"/>
          <w:sz w:val="40"/>
          <w:szCs w:val="40"/>
        </w:rPr>
      </w:pPr>
      <w:r w:rsidDel="00000000" w:rsidR="00000000" w:rsidRPr="00000000">
        <w:rPr>
          <w:b w:val="1"/>
          <w:bCs w:val="1"/>
          <w:color w:val="5b9bd5"/>
          <w:sz w:val="40"/>
          <w:szCs w:val="40"/>
          <w:rtl w:val="0"/>
        </w:rPr>
        <w:t xml:space="preserve">RevoDx</w:t>
      </w:r>
      <w:r w:rsidDel="00000000" w:rsidR="00000000" w:rsidRPr="00000000">
        <w:rPr>
          <w:b w:val="1"/>
          <w:bCs w:val="1"/>
          <w:sz w:val="40"/>
          <w:szCs w:val="40"/>
          <w:rtl w:val="0"/>
        </w:rPr>
        <w:t xml:space="preserve"> </w:t>
      </w:r>
      <w:r w:rsidDel="00000000" w:rsidR="00000000" w:rsidRPr="00000000">
        <w:rPr>
          <w:b w:val="1"/>
          <w:bCs w:val="1"/>
          <w:sz w:val="40"/>
          <w:szCs w:val="40"/>
          <w:rtl w:val="0"/>
        </w:rPr>
        <w:t xml:space="preserve">Набір для виявлення ДНК </w:t>
      </w:r>
      <w:r w:rsidDel="00000000" w:rsidR="00000000" w:rsidRPr="00000000">
        <w:rPr>
          <w:b w:val="1"/>
          <w:bCs w:val="1"/>
          <w:sz w:val="40"/>
          <w:szCs w:val="40"/>
          <w:rtl w:val="0"/>
        </w:rPr>
        <w:t xml:space="preserve">Mycoplasma genitalium / Ureaplasma parvum/urealytıcum qPCR</w:t>
      </w:r>
    </w:p>
    <w:p w:rsidR="00000000" w:rsidDel="00000000" w:rsidP="00000000" w:rsidRDefault="00000000" w:rsidRPr="00000000" w14:paraId="00000004">
      <w:pPr>
        <w:spacing w:line="240" w:lineRule="auto"/>
        <w:ind w:right="164.17322834645688"/>
        <w:rPr>
          <w:b w:val="1"/>
          <w:bCs w:val="1"/>
          <w:sz w:val="28"/>
          <w:szCs w:val="28"/>
        </w:rPr>
      </w:pPr>
      <w:r w:rsidDel="00000000" w:rsidR="00000000" w:rsidRPr="00000000">
        <w:rPr>
          <w:b w:val="1"/>
          <w:bCs w:val="1"/>
          <w:color w:val="5b9bd5"/>
          <w:sz w:val="28"/>
          <w:szCs w:val="28"/>
          <w:rtl w:val="0"/>
        </w:rPr>
        <w:t xml:space="preserve">RevoDx</w:t>
      </w:r>
      <w:r w:rsidDel="00000000" w:rsidR="00000000" w:rsidRPr="00000000">
        <w:rPr>
          <w:b w:val="1"/>
          <w:bCs w:val="1"/>
          <w:sz w:val="28"/>
          <w:szCs w:val="28"/>
          <w:rtl w:val="0"/>
        </w:rPr>
        <w:t xml:space="preserve"> Mycoplasma genitalium/Ureaplasma parvum/urealytıcum qPCR Kit</w:t>
      </w:r>
      <w:r w:rsidDel="00000000" w:rsidR="00000000" w:rsidRPr="00000000">
        <w:rPr>
          <w:rtl w:val="0"/>
        </w:rPr>
      </w:r>
    </w:p>
    <w:p w:rsidR="00000000" w:rsidDel="00000000" w:rsidP="00000000" w:rsidRDefault="00000000" w:rsidRPr="00000000" w14:paraId="00000005">
      <w:pPr>
        <w:spacing w:line="240" w:lineRule="auto"/>
        <w:ind w:right="164.17322834645688"/>
        <w:jc w:val="both"/>
        <w:rPr>
          <w:b w:val="1"/>
          <w:bCs w:val="1"/>
          <w:sz w:val="24"/>
          <w:szCs w:val="24"/>
        </w:rPr>
      </w:pPr>
      <w:r w:rsidDel="00000000" w:rsidR="00000000" w:rsidRPr="00000000">
        <w:rPr>
          <w:b w:val="1"/>
          <w:bCs w:val="1"/>
          <w:sz w:val="24"/>
          <w:szCs w:val="24"/>
          <w:rtl w:val="0"/>
        </w:rPr>
        <w:t xml:space="preserve">Інструкція з використання</w:t>
      </w:r>
      <w:r w:rsidDel="00000000" w:rsidR="00000000" w:rsidRPr="00000000">
        <w:rPr>
          <w:rtl w:val="0"/>
        </w:rPr>
      </w:r>
    </w:p>
    <w:p w:rsidR="00000000" w:rsidDel="00000000" w:rsidP="00000000" w:rsidRDefault="00000000" w:rsidRPr="00000000" w14:paraId="00000006">
      <w:pPr>
        <w:spacing w:line="240" w:lineRule="auto"/>
        <w:ind w:right="164.17322834645688"/>
        <w:rPr>
          <w:b w:val="1"/>
          <w:bCs w:val="1"/>
          <w:sz w:val="20"/>
          <w:szCs w:val="20"/>
        </w:rPr>
      </w:pPr>
      <w:bookmarkStart w:colFirst="0" w:colLast="0" w:name="_heading=h.md5ls9krtn6r" w:id="0"/>
      <w:bookmarkEnd w:id="0"/>
      <w:r w:rsidDel="00000000" w:rsidR="00000000" w:rsidRPr="00000000">
        <w:rPr>
          <w:b w:val="1"/>
          <w:bCs w:val="1"/>
          <w:sz w:val="20"/>
          <w:szCs w:val="20"/>
          <w:rtl w:val="0"/>
        </w:rPr>
        <w:t xml:space="preserve">Якісне виявлення та диференціації ДНК </w:t>
      </w:r>
      <w:r w:rsidDel="00000000" w:rsidR="00000000" w:rsidRPr="00000000">
        <w:rPr>
          <w:b w:val="1"/>
          <w:bCs w:val="1"/>
          <w:i w:val="1"/>
          <w:iCs w:val="1"/>
          <w:sz w:val="20"/>
          <w:szCs w:val="20"/>
          <w:rtl w:val="0"/>
        </w:rPr>
        <w:t xml:space="preserve">Mycoplasma genitalium</w:t>
      </w:r>
      <w:r w:rsidDel="00000000" w:rsidR="00000000" w:rsidRPr="00000000">
        <w:rPr>
          <w:b w:val="1"/>
          <w:bCs w:val="1"/>
          <w:sz w:val="20"/>
          <w:szCs w:val="20"/>
          <w:rtl w:val="0"/>
        </w:rPr>
        <w:t xml:space="preserve">, </w:t>
      </w:r>
      <w:r w:rsidDel="00000000" w:rsidR="00000000" w:rsidRPr="00000000">
        <w:rPr>
          <w:b w:val="1"/>
          <w:bCs w:val="1"/>
          <w:i w:val="1"/>
          <w:iCs w:val="1"/>
          <w:sz w:val="20"/>
          <w:szCs w:val="20"/>
          <w:rtl w:val="0"/>
        </w:rPr>
        <w:t xml:space="preserve">Ureaplasma parvum</w:t>
      </w:r>
      <w:r w:rsidDel="00000000" w:rsidR="00000000" w:rsidRPr="00000000">
        <w:rPr>
          <w:b w:val="1"/>
          <w:bCs w:val="1"/>
          <w:sz w:val="20"/>
          <w:szCs w:val="20"/>
          <w:rtl w:val="0"/>
        </w:rPr>
        <w:t xml:space="preserve"> та </w:t>
      </w:r>
      <w:r w:rsidDel="00000000" w:rsidR="00000000" w:rsidRPr="00000000">
        <w:rPr>
          <w:b w:val="1"/>
          <w:bCs w:val="1"/>
          <w:i w:val="1"/>
          <w:iCs w:val="1"/>
          <w:sz w:val="20"/>
          <w:szCs w:val="20"/>
          <w:rtl w:val="0"/>
        </w:rPr>
        <w:t xml:space="preserve">U. urealytıcum</w:t>
      </w:r>
      <w:r w:rsidDel="00000000" w:rsidR="00000000" w:rsidRPr="00000000">
        <w:rPr>
          <w:rtl w:val="0"/>
        </w:rPr>
      </w:r>
    </w:p>
    <w:p w:rsidR="00000000" w:rsidDel="00000000" w:rsidP="00000000" w:rsidRDefault="00000000" w:rsidRPr="00000000" w14:paraId="00000007">
      <w:pPr>
        <w:spacing w:line="240" w:lineRule="auto"/>
        <w:ind w:right="164.17322834645688"/>
        <w:rPr>
          <w:b w:val="1"/>
          <w:bCs w:val="1"/>
          <w:i w:val="1"/>
          <w:iCs w:val="1"/>
          <w:sz w:val="20"/>
          <w:szCs w:val="20"/>
        </w:rPr>
      </w:pPr>
      <w:r w:rsidDel="00000000" w:rsidR="00000000" w:rsidRPr="00000000">
        <w:rPr>
          <w:b w:val="1"/>
          <w:bCs w:val="1"/>
          <w:sz w:val="20"/>
          <w:szCs w:val="20"/>
          <w:rtl w:val="0"/>
        </w:rPr>
        <w:t xml:space="preserve">Для діагностики</w:t>
      </w:r>
      <w:r w:rsidDel="00000000" w:rsidR="00000000" w:rsidRPr="00000000">
        <w:rPr>
          <w:b w:val="1"/>
          <w:bCs w:val="1"/>
          <w:i w:val="1"/>
          <w:iCs w:val="1"/>
          <w:sz w:val="20"/>
          <w:szCs w:val="20"/>
          <w:rtl w:val="0"/>
        </w:rPr>
        <w:t xml:space="preserve"> in vitro.</w:t>
      </w:r>
    </w:p>
    <w:p w:rsidR="00000000" w:rsidDel="00000000" w:rsidP="00000000" w:rsidRDefault="00000000" w:rsidRPr="00000000" w14:paraId="00000008">
      <w:pPr>
        <w:spacing w:line="240" w:lineRule="auto"/>
        <w:ind w:right="164.17322834645688"/>
        <w:rPr>
          <w:b w:val="1"/>
          <w:bCs w:val="1"/>
          <w:sz w:val="20"/>
          <w:szCs w:val="20"/>
        </w:rPr>
      </w:pPr>
      <w:r w:rsidDel="00000000" w:rsidR="00000000" w:rsidRPr="00000000">
        <w:rPr>
          <w:b w:val="1"/>
          <w:bCs w:val="1"/>
          <w:sz w:val="20"/>
          <w:szCs w:val="20"/>
          <w:rtl w:val="0"/>
        </w:rPr>
        <w:t xml:space="preserve">Тільки для професійного використання     </w:t>
      </w:r>
    </w:p>
    <w:p w:rsidR="00000000" w:rsidDel="00000000" w:rsidP="00000000" w:rsidRDefault="00000000" w:rsidRPr="00000000" w14:paraId="00000009">
      <w:pPr>
        <w:spacing w:line="240" w:lineRule="auto"/>
        <w:ind w:right="164.17322834645688"/>
        <w:jc w:val="both"/>
        <w:rPr>
          <w:b w:val="1"/>
          <w:bCs w:val="1"/>
          <w:sz w:val="20"/>
          <w:szCs w:val="20"/>
        </w:rPr>
      </w:pPr>
      <w:r w:rsidDel="00000000" w:rsidR="00000000" w:rsidRPr="00000000">
        <w:rPr>
          <w:rtl w:val="0"/>
        </w:rPr>
      </w:r>
    </w:p>
    <w:p w:rsidR="00000000" w:rsidDel="00000000" w:rsidP="00000000" w:rsidRDefault="00000000" w:rsidRPr="00000000" w14:paraId="0000000A">
      <w:pPr>
        <w:spacing w:line="240" w:lineRule="auto"/>
        <w:ind w:right="164.17322834645688"/>
        <w:rPr>
          <w:b w:val="1"/>
          <w:bCs w:val="1"/>
          <w:sz w:val="20"/>
          <w:szCs w:val="20"/>
        </w:rPr>
      </w:pPr>
      <w:r w:rsidDel="00000000" w:rsidR="00000000" w:rsidRPr="00000000">
        <w:rPr>
          <w:b w:val="1"/>
          <w:bCs w:val="1"/>
          <w:sz w:val="20"/>
          <w:szCs w:val="20"/>
          <w:rtl w:val="0"/>
        </w:rPr>
        <w:t xml:space="preserve">Каталожні номери:</w:t>
      </w:r>
      <w:r w:rsidDel="00000000" w:rsidR="00000000" w:rsidRPr="00000000">
        <w:drawing>
          <wp:anchor allowOverlap="1" behindDoc="0" distB="114300" distT="114300" distL="114300" distR="114300" hidden="0" layoutInCell="1" locked="0" relativeHeight="0" simplePos="0">
            <wp:simplePos x="0" y="0"/>
            <wp:positionH relativeFrom="column">
              <wp:posOffset>3036349</wp:posOffset>
            </wp:positionH>
            <wp:positionV relativeFrom="paragraph">
              <wp:posOffset>183151</wp:posOffset>
            </wp:positionV>
            <wp:extent cx="324167" cy="359403"/>
            <wp:effectExtent b="0" l="0" r="0" t="0"/>
            <wp:wrapNone/>
            <wp:docPr id="1201822499"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24167" cy="359403"/>
                    </a:xfrm>
                    <a:prstGeom prst="rect"/>
                    <a:ln/>
                  </pic:spPr>
                </pic:pic>
              </a:graphicData>
            </a:graphic>
          </wp:anchor>
        </w:drawing>
      </w:r>
    </w:p>
    <w:p w:rsidR="00000000" w:rsidDel="00000000" w:rsidP="00000000" w:rsidRDefault="00000000" w:rsidRPr="00000000" w14:paraId="0000000B">
      <w:pPr>
        <w:spacing w:line="240" w:lineRule="auto"/>
        <w:ind w:right="164.17322834645688"/>
        <w:rPr>
          <w:b w:val="1"/>
          <w:bCs w:val="1"/>
          <w:sz w:val="20"/>
          <w:szCs w:val="20"/>
        </w:rPr>
      </w:pPr>
      <w:r w:rsidDel="00000000" w:rsidR="00000000" w:rsidRPr="00000000">
        <w:rPr>
          <w:b w:val="1"/>
          <w:bCs w:val="1"/>
          <w:sz w:val="20"/>
          <w:szCs w:val="20"/>
        </w:rPr>
        <w:drawing>
          <wp:anchor allowOverlap="1" behindDoc="0" distB="0" distT="0" distL="0" distR="0" hidden="0" layoutInCell="1" locked="0" relativeHeight="0" simplePos="0">
            <wp:simplePos x="0" y="0"/>
            <wp:positionH relativeFrom="page">
              <wp:posOffset>2592484</wp:posOffset>
            </wp:positionH>
            <wp:positionV relativeFrom="page">
              <wp:posOffset>4038075</wp:posOffset>
            </wp:positionV>
            <wp:extent cx="716280" cy="232410"/>
            <wp:effectExtent b="0" l="0" r="0" t="0"/>
            <wp:wrapNone/>
            <wp:docPr id="1201822498"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716280" cy="232410"/>
                    </a:xfrm>
                    <a:prstGeom prst="rect"/>
                    <a:ln/>
                  </pic:spPr>
                </pic:pic>
              </a:graphicData>
            </a:graphic>
          </wp:anchor>
        </w:drawing>
      </w:r>
      <w:r w:rsidDel="00000000" w:rsidR="00000000" w:rsidRPr="00000000">
        <w:rPr>
          <w:b w:val="1"/>
          <w:bCs w:val="1"/>
          <w:sz w:val="20"/>
          <w:szCs w:val="20"/>
          <w:rtl w:val="0"/>
        </w:rPr>
        <w:t xml:space="preserve">IP202416-50 – 50 тестів</w:t>
      </w:r>
    </w:p>
    <w:p w:rsidR="00000000" w:rsidDel="00000000" w:rsidP="00000000" w:rsidRDefault="00000000" w:rsidRPr="00000000" w14:paraId="0000000C">
      <w:pPr>
        <w:spacing w:line="240" w:lineRule="auto"/>
        <w:ind w:right="164.17322834645688"/>
        <w:rPr>
          <w:b w:val="1"/>
          <w:bCs w:val="1"/>
          <w:sz w:val="20"/>
          <w:szCs w:val="20"/>
        </w:rPr>
      </w:pPr>
      <w:r w:rsidDel="00000000" w:rsidR="00000000" w:rsidRPr="00000000">
        <w:rPr>
          <w:b w:val="1"/>
          <w:bCs w:val="1"/>
          <w:sz w:val="20"/>
          <w:szCs w:val="20"/>
          <w:rtl w:val="0"/>
        </w:rPr>
        <w:t xml:space="preserve">IP202416-100 – 100 тестів</w:t>
      </w:r>
    </w:p>
    <w:p w:rsidR="00000000" w:rsidDel="00000000" w:rsidP="00000000" w:rsidRDefault="00000000" w:rsidRPr="00000000" w14:paraId="0000000D">
      <w:pPr>
        <w:spacing w:line="240" w:lineRule="auto"/>
        <w:ind w:right="164.17322834645688"/>
        <w:rPr>
          <w:b w:val="1"/>
          <w:bCs w:val="1"/>
          <w:sz w:val="20"/>
          <w:szCs w:val="20"/>
        </w:rPr>
      </w:pPr>
      <w:r w:rsidDel="00000000" w:rsidR="00000000" w:rsidRPr="00000000">
        <w:rPr>
          <w:b w:val="1"/>
          <w:bCs w:val="1"/>
          <w:sz w:val="20"/>
          <w:szCs w:val="20"/>
          <w:rtl w:val="0"/>
        </w:rPr>
        <w:t xml:space="preserve">IP202416-500 – 500 тестів</w:t>
      </w:r>
    </w:p>
    <w:p w:rsidR="00000000" w:rsidDel="00000000" w:rsidP="00000000" w:rsidRDefault="00000000" w:rsidRPr="00000000" w14:paraId="0000000E">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00F">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010">
      <w:pPr>
        <w:spacing w:line="240" w:lineRule="auto"/>
        <w:ind w:right="164.17322834645688"/>
        <w:jc w:val="both"/>
        <w:rPr>
          <w:b w:val="1"/>
          <w:bCs w:val="1"/>
        </w:rPr>
      </w:pPr>
      <w:r w:rsidDel="00000000" w:rsidR="00000000" w:rsidRPr="00000000">
        <w:rPr>
          <w:b w:val="1"/>
          <w:bCs w:val="1"/>
          <w:rtl w:val="0"/>
        </w:rPr>
        <w:t xml:space="preserve">Склад набору</w:t>
      </w:r>
    </w:p>
    <w:p w:rsidR="00000000" w:rsidDel="00000000" w:rsidP="00000000" w:rsidRDefault="00000000" w:rsidRPr="00000000" w14:paraId="00000011">
      <w:pPr>
        <w:spacing w:line="240" w:lineRule="auto"/>
        <w:ind w:right="164.17322834645688"/>
        <w:jc w:val="both"/>
        <w:rPr>
          <w:b w:val="1"/>
          <w:bCs w:val="1"/>
          <w:sz w:val="18"/>
          <w:szCs w:val="18"/>
        </w:rPr>
      </w:pPr>
      <w:r w:rsidDel="00000000" w:rsidR="00000000" w:rsidRPr="00000000">
        <w:rPr>
          <w:rtl w:val="0"/>
        </w:rPr>
      </w:r>
    </w:p>
    <w:tbl>
      <w:tblPr>
        <w:tblStyle w:val="Table1"/>
        <w:tblW w:w="5233.333333333334" w:type="dxa"/>
        <w:jc w:val="left"/>
        <w:tblInd w:w="-113.0" w:type="dxa"/>
        <w:tblLayout w:type="fixed"/>
        <w:tblLook w:val="0000"/>
      </w:tblPr>
      <w:tblGrid>
        <w:gridCol w:w="330"/>
        <w:gridCol w:w="2143.333333333334"/>
        <w:gridCol w:w="920.0000000000001"/>
        <w:gridCol w:w="920.0000000000001"/>
        <w:gridCol w:w="920.0000000000001"/>
        <w:tblGridChange w:id="0">
          <w:tblGrid>
            <w:gridCol w:w="330"/>
            <w:gridCol w:w="2143.333333333334"/>
            <w:gridCol w:w="920.0000000000001"/>
            <w:gridCol w:w="920.0000000000001"/>
            <w:gridCol w:w="920.0000000000001"/>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2">
            <w:pPr>
              <w:spacing w:line="240" w:lineRule="auto"/>
              <w:ind w:right="164.17322834645688"/>
              <w:jc w:val="both"/>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3">
            <w:pPr>
              <w:spacing w:line="240" w:lineRule="auto"/>
              <w:ind w:right="164.17322834645688"/>
              <w:jc w:val="both"/>
              <w:rPr>
                <w:b w:val="1"/>
                <w:bCs w:val="1"/>
                <w:sz w:val="18"/>
                <w:szCs w:val="18"/>
              </w:rPr>
            </w:pPr>
            <w:r w:rsidDel="00000000" w:rsidR="00000000" w:rsidRPr="00000000">
              <w:rPr>
                <w:b w:val="1"/>
                <w:bCs w:val="1"/>
                <w:sz w:val="18"/>
                <w:szCs w:val="18"/>
                <w:rtl w:val="0"/>
              </w:rPr>
              <w:t xml:space="preserve">Назва компонента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240" w:lineRule="auto"/>
              <w:ind w:right="164.17322834645688"/>
              <w:jc w:val="center"/>
              <w:rPr>
                <w:b w:val="1"/>
                <w:bCs w:val="1"/>
                <w:sz w:val="18"/>
                <w:szCs w:val="18"/>
              </w:rPr>
            </w:pPr>
            <w:r w:rsidDel="00000000" w:rsidR="00000000" w:rsidRPr="00000000">
              <w:rPr>
                <w:b w:val="1"/>
                <w:bCs w:val="1"/>
                <w:sz w:val="18"/>
                <w:szCs w:val="18"/>
                <w:rtl w:val="0"/>
              </w:rPr>
              <w:t xml:space="preserve">50 тестів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line="240" w:lineRule="auto"/>
              <w:ind w:right="164.17322834645688"/>
              <w:jc w:val="center"/>
              <w:rPr>
                <w:b w:val="1"/>
                <w:bCs w:val="1"/>
                <w:sz w:val="18"/>
                <w:szCs w:val="18"/>
              </w:rPr>
            </w:pPr>
            <w:r w:rsidDel="00000000" w:rsidR="00000000" w:rsidRPr="00000000">
              <w:rPr>
                <w:b w:val="1"/>
                <w:bCs w:val="1"/>
                <w:sz w:val="18"/>
                <w:szCs w:val="18"/>
                <w:rtl w:val="0"/>
              </w:rPr>
              <w:t xml:space="preserve">100 тестів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240" w:lineRule="auto"/>
              <w:ind w:right="164.17322834645688"/>
              <w:jc w:val="center"/>
              <w:rPr>
                <w:b w:val="1"/>
                <w:bCs w:val="1"/>
                <w:sz w:val="18"/>
                <w:szCs w:val="18"/>
              </w:rPr>
            </w:pPr>
            <w:r w:rsidDel="00000000" w:rsidR="00000000" w:rsidRPr="00000000">
              <w:rPr>
                <w:b w:val="1"/>
                <w:bCs w:val="1"/>
                <w:sz w:val="18"/>
                <w:szCs w:val="18"/>
                <w:rtl w:val="0"/>
              </w:rPr>
              <w:t xml:space="preserve">500 тестів</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7">
            <w:pPr>
              <w:spacing w:line="240" w:lineRule="auto"/>
              <w:ind w:right="164.17322834645688"/>
              <w:jc w:val="both"/>
              <w:rPr>
                <w:b w:val="1"/>
                <w:bCs w:val="1"/>
                <w:sz w:val="18"/>
                <w:szCs w:val="18"/>
              </w:rPr>
            </w:pPr>
            <w:r w:rsidDel="00000000" w:rsidR="00000000" w:rsidRPr="00000000">
              <w:rPr>
                <w:b w:val="1"/>
                <w:bCs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8">
            <w:pPr>
              <w:spacing w:line="240" w:lineRule="auto"/>
              <w:ind w:right="164.17322834645688"/>
              <w:rPr>
                <w:sz w:val="18"/>
                <w:szCs w:val="18"/>
              </w:rPr>
            </w:pPr>
            <w:bookmarkStart w:colFirst="0" w:colLast="0" w:name="_heading=h.gjdgxs" w:id="1"/>
            <w:bookmarkEnd w:id="1"/>
            <w:r w:rsidDel="00000000" w:rsidR="00000000" w:rsidRPr="00000000">
              <w:rPr>
                <w:sz w:val="18"/>
                <w:szCs w:val="18"/>
                <w:rtl w:val="0"/>
              </w:rPr>
              <w:t xml:space="preserve"> STI-32 RM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240" w:lineRule="auto"/>
              <w:ind w:right="164.17322834645688"/>
              <w:jc w:val="center"/>
              <w:rPr>
                <w:sz w:val="18"/>
                <w:szCs w:val="18"/>
              </w:rPr>
            </w:pPr>
            <w:r w:rsidDel="00000000" w:rsidR="00000000" w:rsidRPr="00000000">
              <w:rPr>
                <w:sz w:val="18"/>
                <w:szCs w:val="18"/>
                <w:rtl w:val="0"/>
              </w:rPr>
              <w:t xml:space="preserve">700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40" w:lineRule="auto"/>
              <w:ind w:right="164.17322834645688"/>
              <w:jc w:val="center"/>
              <w:rPr>
                <w:sz w:val="18"/>
                <w:szCs w:val="18"/>
              </w:rPr>
            </w:pPr>
            <w:r w:rsidDel="00000000" w:rsidR="00000000" w:rsidRPr="00000000">
              <w:rPr>
                <w:sz w:val="18"/>
                <w:szCs w:val="18"/>
                <w:rtl w:val="0"/>
              </w:rPr>
              <w:t xml:space="preserve">1400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240" w:lineRule="auto"/>
              <w:ind w:right="164.17322834645688"/>
              <w:jc w:val="center"/>
              <w:rPr>
                <w:sz w:val="18"/>
                <w:szCs w:val="18"/>
              </w:rPr>
            </w:pPr>
            <w:r w:rsidDel="00000000" w:rsidR="00000000" w:rsidRPr="00000000">
              <w:rPr>
                <w:sz w:val="18"/>
                <w:szCs w:val="18"/>
                <w:rtl w:val="0"/>
              </w:rPr>
              <w:t xml:space="preserve">5 x 1400 мкл</w:t>
            </w:r>
          </w:p>
        </w:tc>
      </w:tr>
      <w:tr>
        <w:trPr>
          <w:cantSplit w:val="0"/>
          <w:trHeight w:val="1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spacing w:line="240" w:lineRule="auto"/>
              <w:ind w:right="164.17322834645688"/>
              <w:jc w:val="both"/>
              <w:rPr>
                <w:b w:val="1"/>
                <w:bCs w:val="1"/>
                <w:sz w:val="18"/>
                <w:szCs w:val="18"/>
              </w:rPr>
            </w:pPr>
            <w:r w:rsidDel="00000000" w:rsidR="00000000" w:rsidRPr="00000000">
              <w:rPr>
                <w:b w:val="1"/>
                <w:bCs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D">
            <w:pPr>
              <w:spacing w:line="240" w:lineRule="auto"/>
              <w:ind w:right="164.17322834645688"/>
              <w:rPr>
                <w:sz w:val="18"/>
                <w:szCs w:val="18"/>
              </w:rPr>
            </w:pPr>
            <w:r w:rsidDel="00000000" w:rsidR="00000000" w:rsidRPr="00000000">
              <w:rPr>
                <w:sz w:val="18"/>
                <w:szCs w:val="18"/>
                <w:rtl w:val="0"/>
              </w:rPr>
              <w:t xml:space="preserve"> STI-32 RM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40" w:lineRule="auto"/>
              <w:ind w:right="164.17322834645688"/>
              <w:jc w:val="center"/>
              <w:rPr>
                <w:sz w:val="18"/>
                <w:szCs w:val="18"/>
              </w:rPr>
            </w:pPr>
            <w:r w:rsidDel="00000000" w:rsidR="00000000" w:rsidRPr="00000000">
              <w:rPr>
                <w:sz w:val="18"/>
                <w:szCs w:val="18"/>
                <w:rtl w:val="0"/>
              </w:rPr>
              <w:t xml:space="preserve">50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240" w:lineRule="auto"/>
              <w:ind w:right="164.17322834645688"/>
              <w:jc w:val="center"/>
              <w:rPr>
                <w:sz w:val="18"/>
                <w:szCs w:val="18"/>
              </w:rPr>
            </w:pPr>
            <w:r w:rsidDel="00000000" w:rsidR="00000000" w:rsidRPr="00000000">
              <w:rPr>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240" w:lineRule="auto"/>
              <w:ind w:right="164.17322834645688"/>
              <w:jc w:val="center"/>
              <w:rPr>
                <w:sz w:val="18"/>
                <w:szCs w:val="18"/>
              </w:rPr>
            </w:pPr>
            <w:r w:rsidDel="00000000" w:rsidR="00000000" w:rsidRPr="00000000">
              <w:rPr>
                <w:sz w:val="18"/>
                <w:szCs w:val="18"/>
                <w:rtl w:val="0"/>
              </w:rPr>
              <w:t xml:space="preserve">500 мкл</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1">
            <w:pPr>
              <w:spacing w:line="240" w:lineRule="auto"/>
              <w:ind w:right="164.17322834645688"/>
              <w:jc w:val="both"/>
              <w:rPr>
                <w:b w:val="1"/>
                <w:bCs w:val="1"/>
                <w:sz w:val="18"/>
                <w:szCs w:val="18"/>
              </w:rPr>
            </w:pPr>
            <w:r w:rsidDel="00000000" w:rsidR="00000000" w:rsidRPr="00000000">
              <w:rPr>
                <w:b w:val="1"/>
                <w:bCs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2">
            <w:pPr>
              <w:spacing w:line="240" w:lineRule="auto"/>
              <w:ind w:right="164.17322834645688"/>
              <w:rPr>
                <w:sz w:val="18"/>
                <w:szCs w:val="18"/>
              </w:rPr>
            </w:pPr>
            <w:r w:rsidDel="00000000" w:rsidR="00000000" w:rsidRPr="00000000">
              <w:rPr>
                <w:sz w:val="18"/>
                <w:szCs w:val="18"/>
                <w:rtl w:val="0"/>
              </w:rPr>
              <w:t xml:space="preserve"> STI-32 Позитивний контрольний зразок, ПКЗ (Positive control)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40" w:lineRule="auto"/>
              <w:ind w:right="164.17322834645688"/>
              <w:jc w:val="center"/>
              <w:rPr>
                <w:sz w:val="18"/>
                <w:szCs w:val="18"/>
              </w:rPr>
            </w:pPr>
            <w:r w:rsidDel="00000000" w:rsidR="00000000" w:rsidRPr="00000000">
              <w:rPr>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40" w:lineRule="auto"/>
              <w:ind w:right="164.17322834645688"/>
              <w:jc w:val="center"/>
              <w:rPr>
                <w:sz w:val="18"/>
                <w:szCs w:val="18"/>
              </w:rPr>
            </w:pPr>
            <w:r w:rsidDel="00000000" w:rsidR="00000000" w:rsidRPr="00000000">
              <w:rPr>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40" w:lineRule="auto"/>
              <w:ind w:right="164.17322834645688"/>
              <w:jc w:val="center"/>
              <w:rPr>
                <w:sz w:val="18"/>
                <w:szCs w:val="18"/>
              </w:rPr>
            </w:pPr>
            <w:r w:rsidDel="00000000" w:rsidR="00000000" w:rsidRPr="00000000">
              <w:rPr>
                <w:sz w:val="18"/>
                <w:szCs w:val="18"/>
                <w:rtl w:val="0"/>
              </w:rPr>
              <w:t xml:space="preserve">200 мкл</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6">
            <w:pPr>
              <w:spacing w:line="240" w:lineRule="auto"/>
              <w:ind w:right="164.17322834645688"/>
              <w:jc w:val="both"/>
              <w:rPr>
                <w:b w:val="1"/>
                <w:bCs w:val="1"/>
                <w:sz w:val="18"/>
                <w:szCs w:val="18"/>
              </w:rPr>
            </w:pPr>
            <w:r w:rsidDel="00000000" w:rsidR="00000000" w:rsidRPr="00000000">
              <w:rPr>
                <w:b w:val="1"/>
                <w:bCs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7">
            <w:pPr>
              <w:spacing w:line="240" w:lineRule="auto"/>
              <w:ind w:right="164.17322834645688"/>
              <w:rPr>
                <w:sz w:val="18"/>
                <w:szCs w:val="18"/>
              </w:rPr>
            </w:pPr>
            <w:r w:rsidDel="00000000" w:rsidR="00000000" w:rsidRPr="00000000">
              <w:rPr>
                <w:sz w:val="18"/>
                <w:szCs w:val="18"/>
                <w:rtl w:val="0"/>
              </w:rPr>
              <w:t xml:space="preserve"> STI-32 Негативний контрольний зразок, НКЗ (Negative control)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40" w:lineRule="auto"/>
              <w:ind w:right="164.17322834645688"/>
              <w:jc w:val="center"/>
              <w:rPr>
                <w:sz w:val="18"/>
                <w:szCs w:val="18"/>
              </w:rPr>
            </w:pPr>
            <w:r w:rsidDel="00000000" w:rsidR="00000000" w:rsidRPr="00000000">
              <w:rPr>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40" w:lineRule="auto"/>
              <w:ind w:right="164.17322834645688"/>
              <w:jc w:val="center"/>
              <w:rPr>
                <w:sz w:val="18"/>
                <w:szCs w:val="18"/>
              </w:rPr>
            </w:pPr>
            <w:r w:rsidDel="00000000" w:rsidR="00000000" w:rsidRPr="00000000">
              <w:rPr>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240" w:lineRule="auto"/>
              <w:ind w:right="164.17322834645688"/>
              <w:jc w:val="center"/>
              <w:rPr>
                <w:sz w:val="18"/>
                <w:szCs w:val="18"/>
              </w:rPr>
            </w:pPr>
            <w:r w:rsidDel="00000000" w:rsidR="00000000" w:rsidRPr="00000000">
              <w:rPr>
                <w:sz w:val="18"/>
                <w:szCs w:val="18"/>
                <w:rtl w:val="0"/>
              </w:rPr>
              <w:t xml:space="preserve">200 мкл</w:t>
            </w:r>
          </w:p>
        </w:tc>
      </w:tr>
    </w:tbl>
    <w:p w:rsidR="00000000" w:rsidDel="00000000" w:rsidP="00000000" w:rsidRDefault="00000000" w:rsidRPr="00000000" w14:paraId="0000002B">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02C">
      <w:pPr>
        <w:spacing w:line="240" w:lineRule="auto"/>
        <w:ind w:right="164.17322834645688"/>
        <w:jc w:val="both"/>
        <w:rPr>
          <w:b w:val="1"/>
          <w:bCs w:val="1"/>
        </w:rPr>
      </w:pPr>
      <w:r w:rsidDel="00000000" w:rsidR="00000000" w:rsidRPr="00000000">
        <w:rPr>
          <w:b w:val="1"/>
          <w:bCs w:val="1"/>
          <w:rtl w:val="0"/>
        </w:rPr>
        <w:t xml:space="preserve">Транспортування, зберігання та стабільність</w:t>
      </w:r>
    </w:p>
    <w:p w:rsidR="00000000" w:rsidDel="00000000" w:rsidP="00000000" w:rsidRDefault="00000000" w:rsidRPr="00000000" w14:paraId="0000002D">
      <w:pPr>
        <w:spacing w:line="240" w:lineRule="auto"/>
        <w:ind w:right="164.17322834645688"/>
        <w:jc w:val="both"/>
        <w:rPr>
          <w:sz w:val="18"/>
          <w:szCs w:val="18"/>
        </w:rPr>
      </w:pPr>
      <w:r w:rsidDel="00000000" w:rsidR="00000000" w:rsidRPr="00000000">
        <w:rPr>
          <w:sz w:val="18"/>
          <w:szCs w:val="18"/>
          <w:rtl w:val="0"/>
        </w:rPr>
        <w:t xml:space="preserve">Комплекти можна транспортувати при температурі від +2°C до +8°C. Усі компоненти RevoDx Mycoplasma genitalium/Ureaplasma parvum/urealytıcum qPCR Kit слід зберігати при температурі від -25°C до -15°C. Слід уникати зберігання при більш високих температурах. За умов належного зберігання всі компоненти набору залишаються стабільними до закінчення терміну придатності, вказаного на етикетці продукту. Флакон STI-32 RM 1 не можна заморожувати та розморожувати більше 3 разів, це може призвести до зниження чутливості набору. При необхідності збільшення кількості циклів заморожування-розморожування, розділіть набір на кілька аліквот зручного об’єму та зберігайте при температурі від -25°C до -15°C.</w:t>
      </w:r>
    </w:p>
    <w:p w:rsidR="00000000" w:rsidDel="00000000" w:rsidP="00000000" w:rsidRDefault="00000000" w:rsidRPr="00000000" w14:paraId="0000002E">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02F">
      <w:pPr>
        <w:spacing w:line="240" w:lineRule="auto"/>
        <w:ind w:right="164.17322834645688"/>
        <w:jc w:val="both"/>
        <w:rPr>
          <w:b w:val="1"/>
          <w:bCs w:val="1"/>
        </w:rPr>
      </w:pPr>
      <w:r w:rsidDel="00000000" w:rsidR="00000000" w:rsidRPr="00000000">
        <w:rPr>
          <w:b w:val="1"/>
          <w:bCs w:val="1"/>
          <w:rtl w:val="0"/>
        </w:rPr>
        <w:t xml:space="preserve">Передбачене використання</w:t>
      </w:r>
    </w:p>
    <w:p w:rsidR="00000000" w:rsidDel="00000000" w:rsidP="00000000" w:rsidRDefault="00000000" w:rsidRPr="00000000" w14:paraId="00000030">
      <w:pPr>
        <w:spacing w:line="240" w:lineRule="auto"/>
        <w:ind w:right="164.17322834645688"/>
        <w:jc w:val="both"/>
        <w:rPr>
          <w:sz w:val="18"/>
          <w:szCs w:val="18"/>
        </w:rPr>
      </w:pPr>
      <w:r w:rsidDel="00000000" w:rsidR="00000000" w:rsidRPr="00000000">
        <w:rPr>
          <w:sz w:val="18"/>
          <w:szCs w:val="18"/>
          <w:rtl w:val="0"/>
        </w:rPr>
        <w:t xml:space="preserve">RevoDx Mycoplasma genitalium/Ureaplasma parvum/urealytıcum qPCR Kit — це ПЛР-тест у реальному часі, призначений для якісного виявлення ДНК </w:t>
      </w:r>
      <w:r w:rsidDel="00000000" w:rsidR="00000000" w:rsidRPr="00000000">
        <w:rPr>
          <w:i w:val="1"/>
          <w:iCs w:val="1"/>
          <w:sz w:val="18"/>
          <w:szCs w:val="18"/>
          <w:rtl w:val="0"/>
        </w:rPr>
        <w:t xml:space="preserve">Mycoplasma genitalium</w:t>
      </w:r>
      <w:r w:rsidDel="00000000" w:rsidR="00000000" w:rsidRPr="00000000">
        <w:rPr>
          <w:sz w:val="18"/>
          <w:szCs w:val="18"/>
          <w:rtl w:val="0"/>
        </w:rPr>
        <w:t xml:space="preserve">, </w:t>
      </w:r>
      <w:r w:rsidDel="00000000" w:rsidR="00000000" w:rsidRPr="00000000">
        <w:rPr>
          <w:i w:val="1"/>
          <w:iCs w:val="1"/>
          <w:sz w:val="18"/>
          <w:szCs w:val="18"/>
          <w:rtl w:val="0"/>
        </w:rPr>
        <w:t xml:space="preserve">Ureaplasma parvum</w:t>
      </w:r>
      <w:r w:rsidDel="00000000" w:rsidR="00000000" w:rsidRPr="00000000">
        <w:rPr>
          <w:sz w:val="18"/>
          <w:szCs w:val="18"/>
          <w:rtl w:val="0"/>
        </w:rPr>
        <w:t xml:space="preserve"> та </w:t>
      </w:r>
      <w:r w:rsidDel="00000000" w:rsidR="00000000" w:rsidRPr="00000000">
        <w:rPr>
          <w:i w:val="1"/>
          <w:iCs w:val="1"/>
          <w:sz w:val="18"/>
          <w:szCs w:val="18"/>
          <w:rtl w:val="0"/>
        </w:rPr>
        <w:t xml:space="preserve">U.urealytıcum</w:t>
      </w:r>
      <w:r w:rsidDel="00000000" w:rsidR="00000000" w:rsidRPr="00000000">
        <w:rPr>
          <w:sz w:val="18"/>
          <w:szCs w:val="18"/>
          <w:rtl w:val="0"/>
        </w:rPr>
        <w:t xml:space="preserve">.</w:t>
      </w:r>
    </w:p>
    <w:p w:rsidR="00000000" w:rsidDel="00000000" w:rsidP="00000000" w:rsidRDefault="00000000" w:rsidRPr="00000000" w14:paraId="00000031">
      <w:pPr>
        <w:spacing w:line="240" w:lineRule="auto"/>
        <w:ind w:right="164.17322834645688"/>
        <w:jc w:val="both"/>
        <w:rPr>
          <w:sz w:val="18"/>
          <w:szCs w:val="18"/>
        </w:rPr>
      </w:pPr>
      <w:r w:rsidDel="00000000" w:rsidR="00000000" w:rsidRPr="00000000">
        <w:rPr>
          <w:sz w:val="18"/>
          <w:szCs w:val="18"/>
          <w:rtl w:val="0"/>
        </w:rPr>
        <w:t xml:space="preserve">Позитивні результати не виключають коінфекції з іншими збудниками. Виявлений агент може не бути точною причиною захворювання. Негативні результати не виключають інфекції та не повинні використовуватися як єдина основа для прийняття рішень про лікування пацієнта. Негативні результати необхідно поєднувати з клінічними спостереженнями, історією захворювання та епідеміологічною інформацією.</w:t>
      </w:r>
    </w:p>
    <w:p w:rsidR="00000000" w:rsidDel="00000000" w:rsidP="00000000" w:rsidRDefault="00000000" w:rsidRPr="00000000" w14:paraId="00000032">
      <w:pPr>
        <w:spacing w:line="240" w:lineRule="auto"/>
        <w:ind w:right="164.17322834645688"/>
        <w:jc w:val="both"/>
        <w:rPr>
          <w:sz w:val="18"/>
          <w:szCs w:val="18"/>
        </w:rPr>
      </w:pPr>
      <w:r w:rsidDel="00000000" w:rsidR="00000000" w:rsidRPr="00000000">
        <w:rPr>
          <w:sz w:val="18"/>
          <w:szCs w:val="18"/>
          <w:rtl w:val="0"/>
        </w:rPr>
        <w:t xml:space="preserve">Набір RevoDx Mycoplasma genitalium/Ureaplasma parvum/urealytıcum qPCR Kit призначений для професійного використання кваліфікованим лабораторним персоналом, що пройшов навчання методам ПЛР у реальному часі та процедурам для діагностики </w:t>
      </w:r>
      <w:r w:rsidDel="00000000" w:rsidR="00000000" w:rsidRPr="00000000">
        <w:rPr>
          <w:i w:val="1"/>
          <w:iCs w:val="1"/>
          <w:sz w:val="18"/>
          <w:szCs w:val="18"/>
          <w:rtl w:val="0"/>
        </w:rPr>
        <w:t xml:space="preserve">in vitro</w:t>
      </w:r>
      <w:r w:rsidDel="00000000" w:rsidR="00000000" w:rsidRPr="00000000">
        <w:rPr>
          <w:sz w:val="18"/>
          <w:szCs w:val="18"/>
          <w:rtl w:val="0"/>
        </w:rPr>
        <w:t xml:space="preserve">.</w:t>
      </w:r>
    </w:p>
    <w:p w:rsidR="00000000" w:rsidDel="00000000" w:rsidP="00000000" w:rsidRDefault="00000000" w:rsidRPr="00000000" w14:paraId="00000033">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034">
      <w:pPr>
        <w:spacing w:line="240" w:lineRule="auto"/>
        <w:ind w:right="164.17322834645688"/>
        <w:jc w:val="both"/>
        <w:rPr>
          <w:b w:val="1"/>
          <w:bCs w:val="1"/>
        </w:rPr>
      </w:pPr>
      <w:r w:rsidDel="00000000" w:rsidR="00000000" w:rsidRPr="00000000">
        <w:rPr>
          <w:b w:val="1"/>
          <w:bCs w:val="1"/>
          <w:rtl w:val="0"/>
        </w:rPr>
        <w:t xml:space="preserve">Обмеження щодо використання набору</w:t>
      </w:r>
    </w:p>
    <w:p w:rsidR="00000000" w:rsidDel="00000000" w:rsidP="00000000" w:rsidRDefault="00000000" w:rsidRPr="00000000" w14:paraId="00000035">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Використовувати лише за призначенням.</w:t>
      </w:r>
    </w:p>
    <w:p w:rsidR="00000000" w:rsidDel="00000000" w:rsidP="00000000" w:rsidRDefault="00000000" w:rsidRPr="00000000" w14:paraId="00000036">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Набір RevoDx Mycoplasma genitalium/Ureaplasma parvum/urealytıcum qPCR Kit призначений для діагностики </w:t>
      </w:r>
      <w:r w:rsidDel="00000000" w:rsidR="00000000" w:rsidRPr="00000000">
        <w:rPr>
          <w:i w:val="1"/>
          <w:iCs w:val="1"/>
          <w:sz w:val="18"/>
          <w:szCs w:val="18"/>
          <w:rtl w:val="0"/>
        </w:rPr>
        <w:t xml:space="preserve">in vitro</w:t>
      </w:r>
      <w:r w:rsidDel="00000000" w:rsidR="00000000" w:rsidRPr="00000000">
        <w:rPr>
          <w:sz w:val="18"/>
          <w:szCs w:val="18"/>
          <w:rtl w:val="0"/>
        </w:rPr>
        <w:t xml:space="preserve">.</w:t>
      </w:r>
    </w:p>
    <w:p w:rsidR="00000000" w:rsidDel="00000000" w:rsidP="00000000" w:rsidRDefault="00000000" w:rsidRPr="00000000" w14:paraId="00000037">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Потенційні мутації в цільових областях геномів патогена, залучених у реакціях, можуть призвести до хибнонегативних результатів тесту.</w:t>
      </w:r>
    </w:p>
    <w:p w:rsidR="00000000" w:rsidDel="00000000" w:rsidP="00000000" w:rsidRDefault="00000000" w:rsidRPr="00000000" w14:paraId="00000038">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Цей набір валідовано для використання з набором для виділення RevoDx Genomic DNA Purification Kit from Bacteria. Використання інших реагентів для виділення може негативно вплинути на характеристики набору.</w:t>
      </w:r>
    </w:p>
    <w:p w:rsidR="00000000" w:rsidDel="00000000" w:rsidP="00000000" w:rsidRDefault="00000000" w:rsidRPr="00000000" w14:paraId="00000039">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Інгібітори ПЛР в елюатах можуть призвести до хибнонегативних або невалідних результатів тесту.</w:t>
      </w:r>
    </w:p>
    <w:p w:rsidR="00000000" w:rsidDel="00000000" w:rsidP="00000000" w:rsidRDefault="00000000" w:rsidRPr="00000000" w14:paraId="0000003A">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Для отримання достовірних результатів необхідно дотримуватись правильних методів збору, транспортування, зберігання та обробки зразків.</w:t>
      </w:r>
    </w:p>
    <w:p w:rsidR="00000000" w:rsidDel="00000000" w:rsidP="00000000" w:rsidRDefault="00000000" w:rsidRPr="00000000" w14:paraId="0000003B">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Набір призначений для професійного використання кваліфікованим персоналом, що пройшов відповідне навчання. </w:t>
      </w:r>
    </w:p>
    <w:p w:rsidR="00000000" w:rsidDel="00000000" w:rsidP="00000000" w:rsidRDefault="00000000" w:rsidRPr="00000000" w14:paraId="0000003C">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Дотримуйтеся інструкцій з використання до наборів для отримання оптимальних результатів ПЛР.</w:t>
      </w:r>
    </w:p>
    <w:p w:rsidR="00000000" w:rsidDel="00000000" w:rsidP="00000000" w:rsidRDefault="00000000" w:rsidRPr="00000000" w14:paraId="0000003D">
      <w:pPr>
        <w:numPr>
          <w:ilvl w:val="0"/>
          <w:numId w:val="2"/>
        </w:numPr>
        <w:spacing w:line="240" w:lineRule="auto"/>
        <w:ind w:left="720" w:right="164.17322834645688" w:hanging="360"/>
        <w:jc w:val="both"/>
        <w:rPr>
          <w:sz w:val="18"/>
          <w:szCs w:val="18"/>
          <w:u w:val="none"/>
        </w:rPr>
      </w:pPr>
      <w:r w:rsidDel="00000000" w:rsidR="00000000" w:rsidRPr="00000000">
        <w:rPr>
          <w:sz w:val="18"/>
          <w:szCs w:val="18"/>
          <w:rtl w:val="0"/>
        </w:rPr>
        <w:t xml:space="preserve">Не використовуйте набір після закінчення терміну придатності. Компоненти набору з різних серій не можна змішувати.</w:t>
      </w:r>
    </w:p>
    <w:p w:rsidR="00000000" w:rsidDel="00000000" w:rsidP="00000000" w:rsidRDefault="00000000" w:rsidRPr="00000000" w14:paraId="0000003E">
      <w:pPr>
        <w:spacing w:line="240" w:lineRule="auto"/>
        <w:ind w:left="142" w:right="164.17322834645688" w:firstLine="0"/>
        <w:jc w:val="both"/>
        <w:rPr>
          <w:sz w:val="18"/>
          <w:szCs w:val="18"/>
        </w:rPr>
      </w:pPr>
      <w:r w:rsidDel="00000000" w:rsidR="00000000" w:rsidRPr="00000000">
        <w:rPr>
          <w:rtl w:val="0"/>
        </w:rPr>
      </w:r>
    </w:p>
    <w:p w:rsidR="00000000" w:rsidDel="00000000" w:rsidP="00000000" w:rsidRDefault="00000000" w:rsidRPr="00000000" w14:paraId="0000003F">
      <w:pPr>
        <w:spacing w:line="240" w:lineRule="auto"/>
        <w:ind w:right="164.17322834645688"/>
        <w:jc w:val="both"/>
        <w:rPr>
          <w:b w:val="1"/>
          <w:bCs w:val="1"/>
        </w:rPr>
      </w:pPr>
      <w:r w:rsidDel="00000000" w:rsidR="00000000" w:rsidRPr="00000000">
        <w:rPr>
          <w:b w:val="1"/>
          <w:bCs w:val="1"/>
          <w:rtl w:val="0"/>
        </w:rPr>
        <w:t xml:space="preserve">Опис продукту</w:t>
      </w:r>
    </w:p>
    <w:p w:rsidR="00000000" w:rsidDel="00000000" w:rsidP="00000000" w:rsidRDefault="00000000" w:rsidRPr="00000000" w14:paraId="00000040">
      <w:pPr>
        <w:spacing w:line="240" w:lineRule="auto"/>
        <w:ind w:right="164.17322834645688"/>
        <w:jc w:val="both"/>
        <w:rPr>
          <w:sz w:val="18"/>
          <w:szCs w:val="18"/>
        </w:rPr>
      </w:pPr>
      <w:bookmarkStart w:colFirst="0" w:colLast="0" w:name="_heading=h.cr8siqy18kk3" w:id="2"/>
      <w:bookmarkEnd w:id="2"/>
      <w:r w:rsidDel="00000000" w:rsidR="00000000" w:rsidRPr="00000000">
        <w:rPr>
          <w:sz w:val="18"/>
          <w:szCs w:val="18"/>
          <w:rtl w:val="0"/>
        </w:rPr>
        <w:t xml:space="preserve">Набір RevoDx Mycoplasma genitalium/Ureaplasma parvum/urealytıcum qPCR Kit – це набір для виявлення ДНК </w:t>
      </w:r>
      <w:r w:rsidDel="00000000" w:rsidR="00000000" w:rsidRPr="00000000">
        <w:rPr>
          <w:i w:val="1"/>
          <w:iCs w:val="1"/>
          <w:sz w:val="18"/>
          <w:szCs w:val="18"/>
          <w:rtl w:val="0"/>
        </w:rPr>
        <w:t xml:space="preserve">Mycoplasma genitalium</w:t>
      </w:r>
      <w:r w:rsidDel="00000000" w:rsidR="00000000" w:rsidRPr="00000000">
        <w:rPr>
          <w:sz w:val="18"/>
          <w:szCs w:val="18"/>
          <w:rtl w:val="0"/>
        </w:rPr>
        <w:t xml:space="preserve">, </w:t>
      </w:r>
      <w:r w:rsidDel="00000000" w:rsidR="00000000" w:rsidRPr="00000000">
        <w:rPr>
          <w:i w:val="1"/>
          <w:iCs w:val="1"/>
          <w:sz w:val="18"/>
          <w:szCs w:val="18"/>
          <w:rtl w:val="0"/>
        </w:rPr>
        <w:t xml:space="preserve">Ureaplasma parvum</w:t>
      </w:r>
      <w:r w:rsidDel="00000000" w:rsidR="00000000" w:rsidRPr="00000000">
        <w:rPr>
          <w:sz w:val="18"/>
          <w:szCs w:val="18"/>
          <w:rtl w:val="0"/>
        </w:rPr>
        <w:t xml:space="preserve"> та </w:t>
      </w:r>
      <w:r w:rsidDel="00000000" w:rsidR="00000000" w:rsidRPr="00000000">
        <w:rPr>
          <w:i w:val="1"/>
          <w:iCs w:val="1"/>
          <w:sz w:val="18"/>
          <w:szCs w:val="18"/>
          <w:rtl w:val="0"/>
        </w:rPr>
        <w:t xml:space="preserve">U.urealytıcum</w:t>
      </w:r>
      <w:r w:rsidDel="00000000" w:rsidR="00000000" w:rsidRPr="00000000">
        <w:rPr>
          <w:sz w:val="18"/>
          <w:szCs w:val="18"/>
          <w:rtl w:val="0"/>
        </w:rPr>
        <w:t xml:space="preserve"> методом ПЛР у реальному часі. Під час реплікації ДНК у ході ПЛР, мічений флуоресцентним барвником зонд гібридизується з ДНК-матрицею і руйнується 5'-3' ендонуклеазною активністю ДНК-полімерази </w:t>
      </w:r>
      <w:r w:rsidDel="00000000" w:rsidR="00000000" w:rsidRPr="00000000">
        <w:rPr>
          <w:i w:val="1"/>
          <w:iCs w:val="1"/>
          <w:sz w:val="18"/>
          <w:szCs w:val="18"/>
          <w:rtl w:val="0"/>
        </w:rPr>
        <w:t xml:space="preserve">Thermus aquaticus</w:t>
      </w:r>
      <w:r w:rsidDel="00000000" w:rsidR="00000000" w:rsidRPr="00000000">
        <w:rPr>
          <w:sz w:val="18"/>
          <w:szCs w:val="18"/>
          <w:rtl w:val="0"/>
        </w:rPr>
        <w:t xml:space="preserve"> (Taq) в міру подовження праймера ПЛР. Зонд розщеплюється лише тоді, коли відбувається реплікація ДНК, при чому відбувається розділення молекули флуоресцентного барвника та молекули гасника. Утворені продукти ПЛР можна виявити протягом кількох хвилин завдяки підвищенню рівня флуоресценції, яке відбувається експоненціально з кожним наступним циклом ампліфікації у ході ПЛР. Параметр Ct (пороговий цикл) – це номер циклу ампліфікації, при якому флуоресценція реакційної суміші перевищує фіксоване порогове значення. Для контролю якості екстракції нуклеїнових кислот та проходження ампліфікації в наборі використовується внутрішній контрольний зразок.</w:t>
      </w:r>
    </w:p>
    <w:p w:rsidR="00000000" w:rsidDel="00000000" w:rsidP="00000000" w:rsidRDefault="00000000" w:rsidRPr="00000000" w14:paraId="00000041">
      <w:pPr>
        <w:pStyle w:val="Heading2"/>
        <w:spacing w:before="93" w:line="240" w:lineRule="auto"/>
        <w:ind w:left="0" w:right="164.17322834645688" w:firstLine="0"/>
        <w:jc w:val="left"/>
        <w:rPr>
          <w:sz w:val="22"/>
          <w:szCs w:val="22"/>
        </w:rPr>
      </w:pPr>
      <w:r w:rsidDel="00000000" w:rsidR="00000000" w:rsidRPr="00000000">
        <w:rPr>
          <w:sz w:val="22"/>
          <w:szCs w:val="22"/>
          <w:rtl w:val="0"/>
        </w:rPr>
        <w:t xml:space="preserve">Прилади</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1498600</wp:posOffset>
                </wp:positionH>
                <wp:positionV relativeFrom="paragraph">
                  <wp:posOffset>-406399</wp:posOffset>
                </wp:positionV>
                <wp:extent cx="300990" cy="158750"/>
                <wp:effectExtent b="0" l="0" r="0" t="0"/>
                <wp:wrapNone/>
                <wp:docPr id="1201822495" name=""/>
                <a:graphic>
                  <a:graphicData uri="http://schemas.microsoft.com/office/word/2010/wordprocessingShape">
                    <wps:wsp>
                      <wps:cNvSpPr/>
                      <wps:cNvPr id="13" name="Shape 13"/>
                      <wps:spPr>
                        <a:xfrm rot="-5400000">
                          <a:off x="5271388" y="3634268"/>
                          <a:ext cx="149225" cy="291465"/>
                        </a:xfrm>
                        <a:prstGeom prst="rect">
                          <a:avLst/>
                        </a:prstGeom>
                        <a:noFill/>
                        <a:ln>
                          <a:noFill/>
                        </a:ln>
                      </wps:spPr>
                      <wps:txbx>
                        <w:txbxContent>
                          <w:p w:rsidR="00000000" w:rsidDel="00000000" w:rsidP="00000000" w:rsidRDefault="00000000" w:rsidRPr="00000000">
                            <w:pPr>
                              <w:spacing w:after="0" w:before="15"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1498600</wp:posOffset>
                </wp:positionH>
                <wp:positionV relativeFrom="paragraph">
                  <wp:posOffset>-406399</wp:posOffset>
                </wp:positionV>
                <wp:extent cx="300990" cy="158750"/>
                <wp:effectExtent b="0" l="0" r="0" t="0"/>
                <wp:wrapNone/>
                <wp:docPr id="1201822495"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300990" cy="158750"/>
                        </a:xfrm>
                        <a:prstGeom prst="rect"/>
                        <a:ln/>
                      </pic:spPr>
                    </pic:pic>
                  </a:graphicData>
                </a:graphic>
              </wp:anchor>
            </w:drawing>
          </mc:Fallback>
        </mc:AlternateConten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4" w:line="240" w:lineRule="auto"/>
        <w:ind w:right="164.17322834645688"/>
        <w:jc w:val="both"/>
        <w:rPr>
          <w:sz w:val="18"/>
          <w:szCs w:val="18"/>
        </w:rPr>
      </w:pPr>
      <w:r w:rsidDel="00000000" w:rsidR="00000000" w:rsidRPr="00000000">
        <w:rPr>
          <w:sz w:val="18"/>
          <w:szCs w:val="18"/>
          <w:rtl w:val="0"/>
        </w:rPr>
        <w:t xml:space="preserve">Набір RevoDx Mycoplasma genitalium/Ureaplasma parvum/urealytıcum qPCR Kit можна використовувати із ампліфікаторами для ПЛР у реальному часі BIO-RAD CFX96, Tianlong Gentier 96, Applied Biosystems QuantStudio5, а також приладами ДНК-технології серії ДТ (DT-prime, DT-lite). Але RevoDx STI-11 Pathogen Detection Kit також може бути сумісним з більшістю ампліфікаторів для ПЛР у реальному часі з каналами FAM, HEX, ROX і Cy5.</w:t>
      </w:r>
    </w:p>
    <w:p w:rsidR="00000000" w:rsidDel="00000000" w:rsidP="00000000" w:rsidRDefault="00000000" w:rsidRPr="00000000" w14:paraId="00000043">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044">
      <w:pPr>
        <w:spacing w:line="240" w:lineRule="auto"/>
        <w:ind w:right="164.17322834645688"/>
        <w:jc w:val="both"/>
        <w:rPr>
          <w:b w:val="1"/>
          <w:bCs w:val="1"/>
        </w:rPr>
      </w:pPr>
      <w:r w:rsidDel="00000000" w:rsidR="00000000" w:rsidRPr="00000000">
        <w:rPr>
          <w:b w:val="1"/>
          <w:bCs w:val="1"/>
          <w:rtl w:val="0"/>
        </w:rPr>
        <w:t xml:space="preserve">Загальний опис</w:t>
      </w:r>
    </w:p>
    <w:p w:rsidR="00000000" w:rsidDel="00000000" w:rsidP="00000000" w:rsidRDefault="00000000" w:rsidRPr="00000000" w14:paraId="00000045">
      <w:pPr>
        <w:widowControl w:val="1"/>
        <w:jc w:val="both"/>
        <w:rPr>
          <w:sz w:val="18"/>
          <w:szCs w:val="18"/>
        </w:rPr>
      </w:pPr>
      <w:r w:rsidDel="00000000" w:rsidR="00000000" w:rsidRPr="00000000">
        <w:rPr>
          <w:i w:val="1"/>
          <w:iCs w:val="1"/>
          <w:sz w:val="18"/>
          <w:szCs w:val="18"/>
          <w:rtl w:val="0"/>
        </w:rPr>
        <w:t xml:space="preserve">Mycoplasma genitalium</w:t>
      </w:r>
      <w:r w:rsidDel="00000000" w:rsidR="00000000" w:rsidRPr="00000000">
        <w:rPr>
          <w:sz w:val="18"/>
          <w:szCs w:val="18"/>
          <w:rtl w:val="0"/>
        </w:rPr>
        <w:t xml:space="preserve"> це бактерії, характерною особливістю яких є наявність найменшого відомого геному. Ці бактерії не мають клітинної стінки, тому не можуть бути виявлені під час фарбування за Грамом. </w:t>
      </w:r>
      <w:r w:rsidDel="00000000" w:rsidR="00000000" w:rsidRPr="00000000">
        <w:rPr>
          <w:i w:val="1"/>
          <w:iCs w:val="1"/>
          <w:sz w:val="18"/>
          <w:szCs w:val="18"/>
          <w:rtl w:val="0"/>
        </w:rPr>
        <w:t xml:space="preserve">M. genitalium</w:t>
      </w:r>
      <w:r w:rsidDel="00000000" w:rsidR="00000000" w:rsidRPr="00000000">
        <w:rPr>
          <w:sz w:val="18"/>
          <w:szCs w:val="18"/>
          <w:rtl w:val="0"/>
        </w:rPr>
        <w:t xml:space="preserve"> переважно зустрічаються в сечостатевих шляхах обох статей. Патогени не викликають імунну відповідь, оскільки проникають всередину клітин господаря, а також здатні до антигенної та фазової варіації своїх білків, що розташовані на поверхні. Інфекція </w:t>
      </w:r>
      <w:r w:rsidDel="00000000" w:rsidR="00000000" w:rsidRPr="00000000">
        <w:rPr>
          <w:i w:val="1"/>
          <w:iCs w:val="1"/>
          <w:sz w:val="18"/>
          <w:szCs w:val="18"/>
          <w:rtl w:val="0"/>
        </w:rPr>
        <w:t xml:space="preserve">M. genitalium</w:t>
      </w:r>
      <w:r w:rsidDel="00000000" w:rsidR="00000000" w:rsidRPr="00000000">
        <w:rPr>
          <w:sz w:val="18"/>
          <w:szCs w:val="18"/>
          <w:rtl w:val="0"/>
        </w:rPr>
        <w:t xml:space="preserve"> може зберігатися протягом місяців або років у безсимптомній формі. Збудника виявляють у зразках зі статевих органів 15-25% чоловіків з негонококовим уретритом і 10-13% жінок із запальним захворюванням органів малого тазу. Хоча вважається, що патологічні наслідки інфікування </w:t>
      </w:r>
      <w:r w:rsidDel="00000000" w:rsidR="00000000" w:rsidRPr="00000000">
        <w:rPr>
          <w:i w:val="1"/>
          <w:iCs w:val="1"/>
          <w:sz w:val="18"/>
          <w:szCs w:val="18"/>
          <w:rtl w:val="0"/>
        </w:rPr>
        <w:t xml:space="preserve">M. genitalium</w:t>
      </w:r>
      <w:r w:rsidDel="00000000" w:rsidR="00000000" w:rsidRPr="00000000">
        <w:rPr>
          <w:sz w:val="18"/>
          <w:szCs w:val="18"/>
          <w:rtl w:val="0"/>
        </w:rPr>
        <w:t xml:space="preserve"> здебільшого зумовлені реакцією організму-господаря, було показано, що </w:t>
      </w:r>
      <w:r w:rsidDel="00000000" w:rsidR="00000000" w:rsidRPr="00000000">
        <w:rPr>
          <w:i w:val="1"/>
          <w:iCs w:val="1"/>
          <w:sz w:val="18"/>
          <w:szCs w:val="18"/>
          <w:rtl w:val="0"/>
        </w:rPr>
        <w:t xml:space="preserve">M. genitalium</w:t>
      </w:r>
      <w:r w:rsidDel="00000000" w:rsidR="00000000" w:rsidRPr="00000000">
        <w:rPr>
          <w:sz w:val="18"/>
          <w:szCs w:val="18"/>
          <w:rtl w:val="0"/>
        </w:rPr>
        <w:t xml:space="preserve"> безпосередньо спричиняє пошкодження війок у культурі фаллопієвих клітин людини.</w:t>
      </w:r>
    </w:p>
    <w:p w:rsidR="00000000" w:rsidDel="00000000" w:rsidP="00000000" w:rsidRDefault="00000000" w:rsidRPr="00000000" w14:paraId="00000046">
      <w:pPr>
        <w:widowControl w:val="1"/>
        <w:jc w:val="both"/>
        <w:rPr>
          <w:sz w:val="18"/>
          <w:szCs w:val="18"/>
        </w:rPr>
      </w:pPr>
      <w:r w:rsidDel="00000000" w:rsidR="00000000" w:rsidRPr="00000000">
        <w:rPr>
          <w:b w:val="0"/>
          <w:bCs w:val="0"/>
          <w:i w:val="1"/>
          <w:iCs w:val="1"/>
          <w:sz w:val="18"/>
          <w:szCs w:val="18"/>
          <w:rtl w:val="0"/>
        </w:rPr>
        <w:t xml:space="preserve">Ureaplasma parvum</w:t>
      </w:r>
      <w:r w:rsidDel="00000000" w:rsidR="00000000" w:rsidRPr="00000000">
        <w:rPr>
          <w:b w:val="0"/>
          <w:bCs w:val="0"/>
          <w:sz w:val="18"/>
          <w:szCs w:val="18"/>
          <w:rtl w:val="0"/>
        </w:rPr>
        <w:t xml:space="preserve"> - це вид бактерій роду </w:t>
      </w:r>
      <w:r w:rsidDel="00000000" w:rsidR="00000000" w:rsidRPr="00000000">
        <w:rPr>
          <w:b w:val="0"/>
          <w:bCs w:val="0"/>
          <w:i w:val="1"/>
          <w:iCs w:val="1"/>
          <w:sz w:val="18"/>
          <w:szCs w:val="18"/>
          <w:rtl w:val="0"/>
        </w:rPr>
        <w:t xml:space="preserve">Ureaplasma</w:t>
      </w:r>
      <w:r w:rsidDel="00000000" w:rsidR="00000000" w:rsidRPr="00000000">
        <w:rPr>
          <w:b w:val="0"/>
          <w:bCs w:val="0"/>
          <w:sz w:val="18"/>
          <w:szCs w:val="18"/>
          <w:rtl w:val="0"/>
        </w:rPr>
        <w:t xml:space="preserve">, який належить до родини </w:t>
      </w:r>
      <w:r w:rsidDel="00000000" w:rsidR="00000000" w:rsidRPr="00000000">
        <w:rPr>
          <w:b w:val="0"/>
          <w:bCs w:val="0"/>
          <w:i w:val="1"/>
          <w:iCs w:val="1"/>
          <w:sz w:val="18"/>
          <w:szCs w:val="18"/>
          <w:rtl w:val="0"/>
        </w:rPr>
        <w:t xml:space="preserve">Mycoplasmataceae</w:t>
      </w:r>
      <w:r w:rsidDel="00000000" w:rsidR="00000000" w:rsidRPr="00000000">
        <w:rPr>
          <w:b w:val="0"/>
          <w:bCs w:val="0"/>
          <w:sz w:val="18"/>
          <w:szCs w:val="18"/>
          <w:rtl w:val="0"/>
        </w:rPr>
        <w:t xml:space="preserve">. </w:t>
      </w:r>
      <w:r w:rsidDel="00000000" w:rsidR="00000000" w:rsidRPr="00000000">
        <w:rPr>
          <w:b w:val="0"/>
          <w:bCs w:val="0"/>
          <w:i w:val="1"/>
          <w:iCs w:val="1"/>
          <w:sz w:val="18"/>
          <w:szCs w:val="18"/>
          <w:rtl w:val="0"/>
        </w:rPr>
        <w:t xml:space="preserve">Ureaplasma parvum</w:t>
      </w:r>
      <w:r w:rsidDel="00000000" w:rsidR="00000000" w:rsidRPr="00000000">
        <w:rPr>
          <w:b w:val="0"/>
          <w:bCs w:val="0"/>
          <w:sz w:val="18"/>
          <w:szCs w:val="18"/>
          <w:rtl w:val="0"/>
        </w:rPr>
        <w:t xml:space="preserve"> були ідентифіковані як коменсальні представники мікробіому матки здорових жінок репродуктивного віку. </w:t>
      </w:r>
      <w:r w:rsidDel="00000000" w:rsidR="00000000" w:rsidRPr="00000000">
        <w:rPr>
          <w:b w:val="0"/>
          <w:bCs w:val="0"/>
          <w:i w:val="1"/>
          <w:iCs w:val="1"/>
          <w:sz w:val="18"/>
          <w:szCs w:val="18"/>
          <w:rtl w:val="0"/>
        </w:rPr>
        <w:t xml:space="preserve">Ureaplasma parvum </w:t>
      </w:r>
      <w:r w:rsidDel="00000000" w:rsidR="00000000" w:rsidRPr="00000000">
        <w:rPr>
          <w:b w:val="0"/>
          <w:bCs w:val="0"/>
          <w:sz w:val="18"/>
          <w:szCs w:val="18"/>
          <w:rtl w:val="0"/>
        </w:rPr>
        <w:t xml:space="preserve">часто виявляють в сечовивідних або статевих шляхах. Ці бактерії можуть передаватися статевим шляхом.</w:t>
      </w:r>
      <w:r w:rsidDel="00000000" w:rsidR="00000000" w:rsidRPr="00000000">
        <w:rPr>
          <w:b w:val="0"/>
          <w:bCs w:val="0"/>
          <w:i w:val="1"/>
          <w:iCs w:val="1"/>
          <w:sz w:val="18"/>
          <w:szCs w:val="18"/>
          <w:rtl w:val="0"/>
        </w:rPr>
        <w:t xml:space="preserve"> Ureaplasma parvum</w:t>
      </w:r>
      <w:r w:rsidDel="00000000" w:rsidR="00000000" w:rsidRPr="00000000">
        <w:rPr>
          <w:b w:val="0"/>
          <w:bCs w:val="0"/>
          <w:sz w:val="18"/>
          <w:szCs w:val="18"/>
          <w:rtl w:val="0"/>
        </w:rPr>
        <w:t xml:space="preserve"> є умовно-патогенними збудниками урогенітального тракту людини, що можуть спричиняти розвиток хоріоамніоніту, внутрішньоутробних захворювань та внутрішньоутробної смертності плода. Існують дані, що генетичний фонд жінки впливає на несприятливий результат вагітності при інтраамніотичном інфікуванні </w:t>
      </w:r>
      <w:r w:rsidDel="00000000" w:rsidR="00000000" w:rsidRPr="00000000">
        <w:rPr>
          <w:b w:val="0"/>
          <w:bCs w:val="0"/>
          <w:i w:val="1"/>
          <w:iCs w:val="1"/>
          <w:sz w:val="18"/>
          <w:szCs w:val="18"/>
          <w:rtl w:val="0"/>
        </w:rPr>
        <w:t xml:space="preserve">Ureaplasma parvum.</w:t>
      </w:r>
      <w:r w:rsidDel="00000000" w:rsidR="00000000" w:rsidRPr="00000000">
        <w:rPr>
          <w:b w:val="0"/>
          <w:bCs w:val="0"/>
          <w:sz w:val="18"/>
          <w:szCs w:val="18"/>
          <w:rtl w:val="0"/>
        </w:rPr>
        <w:t xml:space="preserve"> Інфікуванні може викликати біль під час сечовипускання, печіння, нетипові виділення, а також почервоніння і запалення.</w:t>
      </w:r>
      <w:r w:rsidDel="00000000" w:rsidR="00000000" w:rsidRPr="00000000">
        <w:rPr>
          <w:rtl w:val="0"/>
        </w:rPr>
      </w:r>
    </w:p>
    <w:p w:rsidR="00000000" w:rsidDel="00000000" w:rsidP="00000000" w:rsidRDefault="00000000" w:rsidRPr="00000000" w14:paraId="00000047">
      <w:pPr>
        <w:widowControl w:val="1"/>
        <w:jc w:val="both"/>
        <w:rPr>
          <w:i w:val="1"/>
          <w:iCs w:val="1"/>
          <w:sz w:val="18"/>
          <w:szCs w:val="18"/>
        </w:rPr>
      </w:pPr>
      <w:r w:rsidDel="00000000" w:rsidR="00000000" w:rsidRPr="00000000">
        <w:rPr>
          <w:i w:val="1"/>
          <w:iCs w:val="1"/>
          <w:sz w:val="18"/>
          <w:szCs w:val="18"/>
          <w:rtl w:val="0"/>
        </w:rPr>
        <w:t xml:space="preserve">Ureaplasma urealyticum</w:t>
      </w:r>
      <w:r w:rsidDel="00000000" w:rsidR="00000000" w:rsidRPr="00000000">
        <w:rPr>
          <w:sz w:val="18"/>
          <w:szCs w:val="18"/>
          <w:rtl w:val="0"/>
        </w:rPr>
        <w:t xml:space="preserve"> належать до бактерій, які можуть викликати інфекції сечовивідних шляхів і піхви. Мікроорганізми можуть передаватися від матері до дитини під час пологів або статевим шляхом. </w:t>
      </w:r>
      <w:r w:rsidDel="00000000" w:rsidR="00000000" w:rsidRPr="00000000">
        <w:rPr>
          <w:i w:val="1"/>
          <w:iCs w:val="1"/>
          <w:sz w:val="18"/>
          <w:szCs w:val="18"/>
          <w:rtl w:val="0"/>
        </w:rPr>
        <w:t xml:space="preserve">Ureaplasma urealyticum</w:t>
      </w:r>
      <w:r w:rsidDel="00000000" w:rsidR="00000000" w:rsidRPr="00000000">
        <w:rPr>
          <w:sz w:val="18"/>
          <w:szCs w:val="18"/>
          <w:rtl w:val="0"/>
        </w:rPr>
        <w:t xml:space="preserve"> виявляється у більшості сексуально активних людей, при цьому носійство є безсимптомним. </w:t>
      </w:r>
      <w:r w:rsidDel="00000000" w:rsidR="00000000" w:rsidRPr="00000000">
        <w:rPr>
          <w:i w:val="1"/>
          <w:iCs w:val="1"/>
          <w:sz w:val="18"/>
          <w:szCs w:val="18"/>
          <w:rtl w:val="0"/>
        </w:rPr>
        <w:t xml:space="preserve">Ureaplasma urealyticum</w:t>
      </w:r>
      <w:r w:rsidDel="00000000" w:rsidR="00000000" w:rsidRPr="00000000">
        <w:rPr>
          <w:sz w:val="18"/>
          <w:szCs w:val="18"/>
          <w:rtl w:val="0"/>
        </w:rPr>
        <w:t xml:space="preserve"> можуть сприяти неонатальним інфекціям та негативним наслідкам пологів. Також </w:t>
      </w:r>
      <w:r w:rsidDel="00000000" w:rsidR="00000000" w:rsidRPr="00000000">
        <w:rPr>
          <w:i w:val="1"/>
          <w:iCs w:val="1"/>
          <w:sz w:val="18"/>
          <w:szCs w:val="18"/>
          <w:rtl w:val="0"/>
        </w:rPr>
        <w:t xml:space="preserve">U. urealyticum </w:t>
      </w:r>
      <w:r w:rsidDel="00000000" w:rsidR="00000000" w:rsidRPr="00000000">
        <w:rPr>
          <w:sz w:val="18"/>
          <w:szCs w:val="18"/>
          <w:rtl w:val="0"/>
        </w:rPr>
        <w:t xml:space="preserve">є однією з причин стерильної піурії. Бактерії можуть спричиняти передчасні пологи та розриви оболонок плоду, запалення плаценти, вроджену пневмонію, бактеріємію, менінгіт, ураження легень плода та смерть немовля. </w:t>
      </w:r>
      <w:r w:rsidDel="00000000" w:rsidR="00000000" w:rsidRPr="00000000">
        <w:rPr>
          <w:i w:val="1"/>
          <w:iCs w:val="1"/>
          <w:sz w:val="18"/>
          <w:szCs w:val="18"/>
          <w:rtl w:val="0"/>
        </w:rPr>
        <w:t xml:space="preserve">Ureaplasma urealyticum</w:t>
      </w:r>
      <w:r w:rsidDel="00000000" w:rsidR="00000000" w:rsidRPr="00000000">
        <w:rPr>
          <w:sz w:val="18"/>
          <w:szCs w:val="18"/>
          <w:rtl w:val="0"/>
        </w:rPr>
        <w:t xml:space="preserve"> впливає на виношування вагітності. Крім того, цей збудник може латентно інфікувати ворсинки хоріона вагітних жінок і таким чином далі впливати на вагітність.</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049">
      <w:pPr>
        <w:spacing w:line="240" w:lineRule="auto"/>
        <w:ind w:right="164.17322834645688"/>
        <w:jc w:val="both"/>
        <w:rPr>
          <w:b w:val="1"/>
          <w:bCs w:val="1"/>
        </w:rPr>
      </w:pPr>
      <w:r w:rsidDel="00000000" w:rsidR="00000000" w:rsidRPr="00000000">
        <w:rPr>
          <w:b w:val="1"/>
          <w:bCs w:val="1"/>
          <w:rtl w:val="0"/>
        </w:rPr>
        <w:t xml:space="preserve">Інформація щодо безпеки</w:t>
      </w:r>
    </w:p>
    <w:p w:rsidR="00000000" w:rsidDel="00000000" w:rsidP="00000000" w:rsidRDefault="00000000" w:rsidRPr="00000000" w14:paraId="0000004A">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Клінічні зразки слід розглядати як потенційно інфекційні; з ними слід працювати в зоні біобезпеки 1-го або 2-го рівня, залежно від збудника інфекції.</w:t>
      </w:r>
    </w:p>
    <w:p w:rsidR="00000000" w:rsidDel="00000000" w:rsidP="00000000" w:rsidRDefault="00000000" w:rsidRPr="00000000" w14:paraId="0000004B">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Усі отримані відходи слід вважати потенційно інфекційними. З ними слід поводитись та утилізувати відповідно до місцевих правил безпеки.</w:t>
      </w:r>
    </w:p>
    <w:p w:rsidR="00000000" w:rsidDel="00000000" w:rsidP="00000000" w:rsidRDefault="00000000" w:rsidRPr="00000000" w14:paraId="0000004C">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Уникайте будь-якого контакту шкіри з реагентами набору. У випадку контакту ретельно промити водою. </w:t>
      </w:r>
    </w:p>
    <w:p w:rsidR="00000000" w:rsidDel="00000000" w:rsidP="00000000" w:rsidRDefault="00000000" w:rsidRPr="00000000" w14:paraId="0000004D">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Уникайте розбризкування та утворення аерозолів.</w:t>
      </w:r>
    </w:p>
    <w:p w:rsidR="00000000" w:rsidDel="00000000" w:rsidP="00000000" w:rsidRDefault="00000000" w:rsidRPr="00000000" w14:paraId="0000004E">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Після роботи із клінічними зразками та реагентами необхідно мити руки. </w:t>
      </w:r>
    </w:p>
    <w:p w:rsidR="00000000" w:rsidDel="00000000" w:rsidP="00000000" w:rsidRDefault="00000000" w:rsidRPr="00000000" w14:paraId="0000004F">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Інформацію стосовно хімічного складу та безпечності реагентів тощо (MSDS information) можна отримати від виробника чи його представника за запитом. </w:t>
      </w:r>
    </w:p>
    <w:p w:rsidR="00000000" w:rsidDel="00000000" w:rsidP="00000000" w:rsidRDefault="00000000" w:rsidRPr="00000000" w14:paraId="00000050">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При роботі в лабораторії використовувати засоби індивідуального захисту. </w:t>
      </w:r>
    </w:p>
    <w:p w:rsidR="00000000" w:rsidDel="00000000" w:rsidP="00000000" w:rsidRDefault="00000000" w:rsidRPr="00000000" w14:paraId="00000051">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На початку та в кінці роботи дезінфікуйте усі робочі поверхні знезаражувальними розчинами.</w:t>
      </w:r>
    </w:p>
    <w:p w:rsidR="00000000" w:rsidDel="00000000" w:rsidP="00000000" w:rsidRDefault="00000000" w:rsidRPr="00000000" w14:paraId="00000052">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Переконайтесь, що всі розхідні матеріали мають маркування DNase/RNase-free.</w:t>
      </w:r>
    </w:p>
    <w:p w:rsidR="00000000" w:rsidDel="00000000" w:rsidP="00000000" w:rsidRDefault="00000000" w:rsidRPr="00000000" w14:paraId="00000053">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Поводьтеся з усіма матеріалами відповідно до правил роботи в лабораторіях, що проводять дослідження молекулярно-генетичними методами, щоб запобігти перехресній контамінації. </w:t>
      </w:r>
    </w:p>
    <w:p w:rsidR="00000000" w:rsidDel="00000000" w:rsidP="00000000" w:rsidRDefault="00000000" w:rsidRPr="00000000" w14:paraId="00000054">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Використовуйте тільки повірені/калібровані дозатори та наконечники з аерозольним фільтром.</w:t>
      </w:r>
    </w:p>
    <w:p w:rsidR="00000000" w:rsidDel="00000000" w:rsidP="00000000" w:rsidRDefault="00000000" w:rsidRPr="00000000" w14:paraId="00000055">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Зберігайте набір подалі від джерел забруднення нуклеїновими кислотами, особливо продуктами ампліфікації. </w:t>
      </w:r>
    </w:p>
    <w:p w:rsidR="00000000" w:rsidDel="00000000" w:rsidP="00000000" w:rsidRDefault="00000000" w:rsidRPr="00000000" w14:paraId="00000056">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Усі маніпуляції варто проводити в окремих зонах (екстракція ДНК/РНК, приготування реакційних сумішей, ампліфікація). </w:t>
      </w:r>
    </w:p>
    <w:p w:rsidR="00000000" w:rsidDel="00000000" w:rsidP="00000000" w:rsidRDefault="00000000" w:rsidRPr="00000000" w14:paraId="00000057">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Усе обладнання та витратні матеріали для конкретної операції повинні знаходитися в зоні, де виконується ця операція, і не повинні переміщатися між різними зонами. Рукавички слід змінювати при переході у кожну зону. Лабораторні халати повинні бути окремими для кожної зони і їх не можна носити за межами цієї зони.</w:t>
      </w:r>
    </w:p>
    <w:p w:rsidR="00000000" w:rsidDel="00000000" w:rsidP="00000000" w:rsidRDefault="00000000" w:rsidRPr="00000000" w14:paraId="00000058">
      <w:pPr>
        <w:widowControl w:val="1"/>
        <w:numPr>
          <w:ilvl w:val="0"/>
          <w:numId w:val="4"/>
        </w:numPr>
        <w:spacing w:line="240" w:lineRule="auto"/>
        <w:ind w:left="720" w:right="164.17322834645688" w:hanging="360"/>
        <w:jc w:val="both"/>
        <w:rPr>
          <w:sz w:val="18"/>
          <w:szCs w:val="18"/>
          <w:u w:val="none"/>
        </w:rPr>
      </w:pPr>
      <w:r w:rsidDel="00000000" w:rsidR="00000000" w:rsidRPr="00000000">
        <w:rPr>
          <w:sz w:val="18"/>
          <w:szCs w:val="18"/>
          <w:rtl w:val="0"/>
        </w:rPr>
        <w:t xml:space="preserve">Роботи повинні виконуватись в одному напрямку, починаючи із зони екстракції ДНК/РНК і закінчуючи відповідними зонами використання.</w:t>
      </w:r>
    </w:p>
    <w:p w:rsidR="00000000" w:rsidDel="00000000" w:rsidP="00000000" w:rsidRDefault="00000000" w:rsidRPr="00000000" w14:paraId="00000059">
      <w:pPr>
        <w:spacing w:line="240" w:lineRule="auto"/>
        <w:ind w:right="164.17322834645688"/>
        <w:rPr>
          <w:sz w:val="18"/>
          <w:szCs w:val="18"/>
        </w:rPr>
      </w:pPr>
      <w:r w:rsidDel="00000000" w:rsidR="00000000" w:rsidRPr="00000000">
        <w:rPr>
          <w:rtl w:val="0"/>
        </w:rPr>
      </w:r>
    </w:p>
    <w:p w:rsidR="00000000" w:rsidDel="00000000" w:rsidP="00000000" w:rsidRDefault="00000000" w:rsidRPr="00000000" w14:paraId="0000005A">
      <w:pPr>
        <w:spacing w:line="240" w:lineRule="auto"/>
        <w:ind w:right="164.17322834645688"/>
        <w:jc w:val="both"/>
        <w:rPr>
          <w:b w:val="1"/>
          <w:bCs w:val="1"/>
        </w:rPr>
      </w:pPr>
      <w:r w:rsidDel="00000000" w:rsidR="00000000" w:rsidRPr="00000000">
        <w:rPr>
          <w:b w:val="1"/>
          <w:bCs w:val="1"/>
          <w:rtl w:val="0"/>
        </w:rPr>
        <w:t xml:space="preserve">Характеристики набору</w:t>
      </w:r>
    </w:p>
    <w:p w:rsidR="00000000" w:rsidDel="00000000" w:rsidP="00000000" w:rsidRDefault="00000000" w:rsidRPr="00000000" w14:paraId="0000005B">
      <w:pPr>
        <w:spacing w:line="240" w:lineRule="auto"/>
        <w:ind w:right="164.17322834645688"/>
        <w:jc w:val="both"/>
        <w:rPr>
          <w:sz w:val="18"/>
          <w:szCs w:val="18"/>
        </w:rPr>
      </w:pPr>
      <w:r w:rsidDel="00000000" w:rsidR="00000000" w:rsidRPr="00000000">
        <w:rPr>
          <w:b w:val="1"/>
          <w:bCs w:val="1"/>
          <w:sz w:val="18"/>
          <w:szCs w:val="18"/>
          <w:rtl w:val="0"/>
        </w:rPr>
        <w:t xml:space="preserve">Межа виявлення (LoD) - Аналітичне дослідження чутливості: </w:t>
      </w:r>
      <w:r w:rsidDel="00000000" w:rsidR="00000000" w:rsidRPr="00000000">
        <w:rPr>
          <w:sz w:val="18"/>
          <w:szCs w:val="18"/>
          <w:rtl w:val="0"/>
        </w:rPr>
        <w:t xml:space="preserve">Для визначення межі виявлення (LoD) була підготовлена серія розведень кожного збудника, щоб отримати кінцеві концентрації  </w:t>
      </w:r>
      <w:r w:rsidDel="00000000" w:rsidR="00000000" w:rsidRPr="00000000">
        <w:rPr>
          <w:sz w:val="18"/>
          <w:szCs w:val="18"/>
          <w:rtl w:val="0"/>
        </w:rPr>
        <w:t xml:space="preserve">2430, 810, 270, 90 та 30 КУО/мл шляхом розведення зразками сечі, зібраними у негативних осіб, для імітації клінічних зразків. ДНК патогена очищали за допомогою</w:t>
      </w:r>
      <w:r w:rsidDel="00000000" w:rsidR="00000000" w:rsidRPr="00000000">
        <w:rPr>
          <w:sz w:val="18"/>
          <w:szCs w:val="18"/>
          <w:rtl w:val="0"/>
        </w:rPr>
        <w:t xml:space="preserve"> RevoDx Pathogen DNA/RNA Purification Kit.  Кожне розведення було перевірено в 24 повторах для кожної мішені. Значення межі виявлення (LoD) було розраховано шляхом пробіт-аналізу. Значення межі виявлення (LoD) становило 122 КУО/мл. Це значення LoD було підтверджено тестуванням додаткових 20 повторів із концентрацією 122 КУО/мл. Усі 20 реплікатів дали позитивні результати для кожної мішені, таким чином було підтверджено, що LoD становить 122 КУО/мл.</w:t>
      </w:r>
    </w:p>
    <w:p w:rsidR="00000000" w:rsidDel="00000000" w:rsidP="00000000" w:rsidRDefault="00000000" w:rsidRPr="00000000" w14:paraId="0000005C">
      <w:pPr>
        <w:spacing w:line="240" w:lineRule="auto"/>
        <w:ind w:right="164.17322834645688"/>
        <w:jc w:val="both"/>
        <w:rPr>
          <w:sz w:val="18"/>
          <w:szCs w:val="18"/>
        </w:rPr>
      </w:pPr>
      <w:r w:rsidDel="00000000" w:rsidR="00000000" w:rsidRPr="00000000">
        <w:rPr>
          <w:rtl w:val="0"/>
        </w:rPr>
      </w:r>
    </w:p>
    <w:p w:rsidR="00000000" w:rsidDel="00000000" w:rsidP="00000000" w:rsidRDefault="00000000" w:rsidRPr="00000000" w14:paraId="0000005D">
      <w:pPr>
        <w:spacing w:line="240" w:lineRule="auto"/>
        <w:ind w:right="164.17322834645688"/>
        <w:jc w:val="both"/>
        <w:rPr>
          <w:b w:val="1"/>
          <w:bCs w:val="1"/>
          <w:sz w:val="18"/>
          <w:szCs w:val="18"/>
        </w:rPr>
      </w:pPr>
      <w:r w:rsidDel="00000000" w:rsidR="00000000" w:rsidRPr="00000000">
        <w:rPr>
          <w:b w:val="1"/>
          <w:bCs w:val="1"/>
          <w:sz w:val="18"/>
          <w:szCs w:val="18"/>
          <w:rtl w:val="0"/>
        </w:rPr>
        <w:t xml:space="preserve">Інклюзивність:</w:t>
      </w:r>
    </w:p>
    <w:p w:rsidR="00000000" w:rsidDel="00000000" w:rsidP="00000000" w:rsidRDefault="00000000" w:rsidRPr="00000000" w14:paraId="0000005E">
      <w:pPr>
        <w:spacing w:line="240" w:lineRule="auto"/>
        <w:ind w:right="164.17322834645688"/>
        <w:jc w:val="both"/>
        <w:rPr>
          <w:sz w:val="18"/>
          <w:szCs w:val="18"/>
        </w:rPr>
      </w:pPr>
      <w:r w:rsidDel="00000000" w:rsidR="00000000" w:rsidRPr="00000000">
        <w:rPr>
          <w:sz w:val="18"/>
          <w:szCs w:val="18"/>
          <w:rtl w:val="0"/>
        </w:rPr>
        <w:t xml:space="preserve">Аналіз інклюзивності </w:t>
      </w:r>
      <w:r w:rsidDel="00000000" w:rsidR="00000000" w:rsidRPr="00000000">
        <w:rPr>
          <w:i w:val="1"/>
          <w:iCs w:val="1"/>
          <w:sz w:val="18"/>
          <w:szCs w:val="18"/>
          <w:rtl w:val="0"/>
        </w:rPr>
        <w:t xml:space="preserve">in silico</w:t>
      </w:r>
      <w:r w:rsidDel="00000000" w:rsidR="00000000" w:rsidRPr="00000000">
        <w:rPr>
          <w:sz w:val="18"/>
          <w:szCs w:val="18"/>
          <w:rtl w:val="0"/>
        </w:rPr>
        <w:t xml:space="preserve"> праймерів та зондів</w:t>
      </w:r>
      <w:r w:rsidDel="00000000" w:rsidR="00000000" w:rsidRPr="00000000">
        <w:rPr>
          <w:sz w:val="18"/>
          <w:szCs w:val="18"/>
          <w:rtl w:val="0"/>
        </w:rPr>
        <w:t xml:space="preserve"> RevoDx Mycoplasma genitalium/Ureaplasma parvum/urealytıcum qPCR Kit був проведений для послідовностей кожного збудника, доступних у базах даних NCBI. Результати показують, що нуклеотидні ділянки, які розпізнаються розробленими праймерами та зондами, мають 100% гомологію з всіма доступними послідовностями генотипів з Національного центру біотехнологічної інформації (NCBI).</w:t>
      </w:r>
    </w:p>
    <w:p w:rsidR="00000000" w:rsidDel="00000000" w:rsidP="00000000" w:rsidRDefault="00000000" w:rsidRPr="00000000" w14:paraId="0000005F">
      <w:pPr>
        <w:spacing w:line="240" w:lineRule="auto"/>
        <w:ind w:right="164.17322834645688"/>
        <w:jc w:val="both"/>
        <w:rPr>
          <w:sz w:val="18"/>
          <w:szCs w:val="18"/>
        </w:rPr>
      </w:pPr>
      <w:r w:rsidDel="00000000" w:rsidR="00000000" w:rsidRPr="00000000">
        <w:rPr>
          <w:rtl w:val="0"/>
        </w:rPr>
      </w:r>
    </w:p>
    <w:p w:rsidR="00000000" w:rsidDel="00000000" w:rsidP="00000000" w:rsidRDefault="00000000" w:rsidRPr="00000000" w14:paraId="00000060">
      <w:pPr>
        <w:spacing w:line="240" w:lineRule="auto"/>
        <w:ind w:right="164.17322834645688"/>
        <w:jc w:val="both"/>
        <w:rPr>
          <w:b w:val="1"/>
          <w:bCs w:val="1"/>
          <w:sz w:val="18"/>
          <w:szCs w:val="18"/>
        </w:rPr>
      </w:pPr>
      <w:r w:rsidDel="00000000" w:rsidR="00000000" w:rsidRPr="00000000">
        <w:rPr>
          <w:b w:val="1"/>
          <w:bCs w:val="1"/>
          <w:sz w:val="18"/>
          <w:szCs w:val="18"/>
          <w:rtl w:val="0"/>
        </w:rPr>
        <w:t xml:space="preserve">Перехресна реактивність: </w:t>
      </w:r>
    </w:p>
    <w:p w:rsidR="00000000" w:rsidDel="00000000" w:rsidP="00000000" w:rsidRDefault="00000000" w:rsidRPr="00000000" w14:paraId="00000061">
      <w:pPr>
        <w:spacing w:line="240" w:lineRule="auto"/>
        <w:ind w:right="164.17322834645688"/>
        <w:jc w:val="both"/>
        <w:rPr>
          <w:sz w:val="18"/>
          <w:szCs w:val="18"/>
        </w:rPr>
      </w:pPr>
      <w:r w:rsidDel="00000000" w:rsidR="00000000" w:rsidRPr="00000000">
        <w:rPr>
          <w:sz w:val="18"/>
          <w:szCs w:val="18"/>
          <w:rtl w:val="0"/>
        </w:rPr>
        <w:t xml:space="preserve">Перехресну реактивність набору RevoDx Mycoplasma genitalium/Ureaplasma parvum/urealytıcum qPCR Kit оцінювали як за допомогою аналізу </w:t>
      </w:r>
      <w:r w:rsidDel="00000000" w:rsidR="00000000" w:rsidRPr="00000000">
        <w:rPr>
          <w:i w:val="1"/>
          <w:iCs w:val="1"/>
          <w:sz w:val="18"/>
          <w:szCs w:val="18"/>
          <w:rtl w:val="0"/>
        </w:rPr>
        <w:t xml:space="preserve">in silico</w:t>
      </w:r>
      <w:r w:rsidDel="00000000" w:rsidR="00000000" w:rsidRPr="00000000">
        <w:rPr>
          <w:sz w:val="18"/>
          <w:szCs w:val="18"/>
          <w:rtl w:val="0"/>
        </w:rPr>
        <w:t xml:space="preserve">, так і за допомогою тестування методом ПЛР. Аналіз </w:t>
      </w:r>
      <w:r w:rsidDel="00000000" w:rsidR="00000000" w:rsidRPr="00000000">
        <w:rPr>
          <w:i w:val="1"/>
          <w:iCs w:val="1"/>
          <w:sz w:val="18"/>
          <w:szCs w:val="18"/>
          <w:rtl w:val="0"/>
        </w:rPr>
        <w:t xml:space="preserve">in silico</w:t>
      </w:r>
      <w:r w:rsidDel="00000000" w:rsidR="00000000" w:rsidRPr="00000000">
        <w:rPr>
          <w:sz w:val="18"/>
          <w:szCs w:val="18"/>
          <w:rtl w:val="0"/>
        </w:rPr>
        <w:t xml:space="preserve"> праймерів і зондів RevoDx Mycoplasma genitalium/Ureaplasma parvum/urealytıcum qPCR Kit проти послідовностей 28 патогенів показав, що набір є специфічним до конкретних мішеней і не дає перехресної реакції з цими патогенами. Перераховані нижче 28 збудників були протестовані  на перехресну реактивність методом ПЛР за допомогою набору RevoDx Mycoplasma genitalium/Ureaplasma parvum/urealytıcum qPCR Kit. Хибнопозитивних результатів не виявлено.</w:t>
      </w:r>
    </w:p>
    <w:p w:rsidR="00000000" w:rsidDel="00000000" w:rsidP="00000000" w:rsidRDefault="00000000" w:rsidRPr="00000000" w14:paraId="00000062">
      <w:pPr>
        <w:spacing w:line="240" w:lineRule="auto"/>
        <w:ind w:right="164.17322834645688"/>
        <w:jc w:val="both"/>
        <w:rPr>
          <w:sz w:val="18"/>
          <w:szCs w:val="18"/>
        </w:rPr>
      </w:pPr>
      <w:r w:rsidDel="00000000" w:rsidR="00000000" w:rsidRPr="00000000">
        <w:rPr>
          <w:sz w:val="18"/>
          <w:szCs w:val="18"/>
          <w:rtl w:val="0"/>
        </w:rPr>
        <w:t xml:space="preserve">Нижче наведені результати дослідження перехресної реактивності, як </w:t>
      </w:r>
      <w:r w:rsidDel="00000000" w:rsidR="00000000" w:rsidRPr="00000000">
        <w:rPr>
          <w:i w:val="1"/>
          <w:iCs w:val="1"/>
          <w:sz w:val="18"/>
          <w:szCs w:val="18"/>
          <w:rtl w:val="0"/>
        </w:rPr>
        <w:t xml:space="preserve">in silico</w:t>
      </w:r>
      <w:r w:rsidDel="00000000" w:rsidR="00000000" w:rsidRPr="00000000">
        <w:rPr>
          <w:sz w:val="18"/>
          <w:szCs w:val="18"/>
          <w:rtl w:val="0"/>
        </w:rPr>
        <w:t xml:space="preserve">, так і методом ПЛР.</w:t>
      </w:r>
    </w:p>
    <w:p w:rsidR="00000000" w:rsidDel="00000000" w:rsidP="00000000" w:rsidRDefault="00000000" w:rsidRPr="00000000" w14:paraId="00000063">
      <w:pPr>
        <w:spacing w:line="240" w:lineRule="auto"/>
        <w:ind w:right="164.17322834645688"/>
        <w:jc w:val="both"/>
        <w:rPr>
          <w:sz w:val="18"/>
          <w:szCs w:val="18"/>
        </w:rPr>
      </w:pPr>
      <w:r w:rsidDel="00000000" w:rsidR="00000000" w:rsidRPr="00000000">
        <w:rPr>
          <w:rtl w:val="0"/>
        </w:rPr>
      </w:r>
    </w:p>
    <w:p w:rsidR="00000000" w:rsidDel="00000000" w:rsidP="00000000" w:rsidRDefault="00000000" w:rsidRPr="00000000" w14:paraId="00000064">
      <w:pPr>
        <w:spacing w:line="240" w:lineRule="auto"/>
        <w:ind w:right="164.17322834645688"/>
        <w:jc w:val="both"/>
        <w:rPr>
          <w:b w:val="1"/>
          <w:bCs w:val="1"/>
          <w:sz w:val="18"/>
          <w:szCs w:val="18"/>
        </w:rPr>
      </w:pPr>
      <w:r w:rsidDel="00000000" w:rsidR="00000000" w:rsidRPr="00000000">
        <w:rPr>
          <w:b w:val="1"/>
          <w:bCs w:val="1"/>
          <w:sz w:val="18"/>
          <w:szCs w:val="18"/>
          <w:rtl w:val="0"/>
        </w:rPr>
        <w:t xml:space="preserve">Аналіз перехресної реактивності</w:t>
      </w:r>
      <w:r w:rsidDel="00000000" w:rsidR="00000000" w:rsidRPr="00000000">
        <w:rPr>
          <w:b w:val="1"/>
          <w:bCs w:val="1"/>
          <w:i w:val="1"/>
          <w:iCs w:val="1"/>
          <w:sz w:val="18"/>
          <w:szCs w:val="18"/>
          <w:rtl w:val="0"/>
        </w:rPr>
        <w:t xml:space="preserve"> in silico</w:t>
      </w:r>
      <w:r w:rsidDel="00000000" w:rsidR="00000000" w:rsidRPr="00000000">
        <w:rPr>
          <w:rtl w:val="0"/>
        </w:rPr>
      </w:r>
    </w:p>
    <w:tbl>
      <w:tblPr>
        <w:tblStyle w:val="Table2"/>
        <w:tblW w:w="48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5"/>
        <w:gridCol w:w="1800"/>
        <w:tblGridChange w:id="0">
          <w:tblGrid>
            <w:gridCol w:w="3015"/>
            <w:gridCol w:w="1800"/>
          </w:tblGrid>
        </w:tblGridChange>
      </w:tblGrid>
      <w:tr>
        <w:trPr>
          <w:cantSplit w:val="0"/>
          <w:tblHeader w:val="0"/>
        </w:trPr>
        <w:tc>
          <w:tcPr>
            <w:vAlign w:val="center"/>
          </w:tcPr>
          <w:p w:rsidR="00000000" w:rsidDel="00000000" w:rsidP="00000000" w:rsidRDefault="00000000" w:rsidRPr="00000000" w14:paraId="00000065">
            <w:pPr>
              <w:spacing w:line="240" w:lineRule="auto"/>
              <w:ind w:right="164.17322834645688"/>
              <w:jc w:val="center"/>
              <w:rPr>
                <w:b w:val="1"/>
                <w:bCs w:val="1"/>
                <w:sz w:val="16"/>
                <w:szCs w:val="16"/>
              </w:rPr>
            </w:pPr>
            <w:r w:rsidDel="00000000" w:rsidR="00000000" w:rsidRPr="00000000">
              <w:rPr>
                <w:b w:val="1"/>
                <w:bCs w:val="1"/>
                <w:sz w:val="16"/>
                <w:szCs w:val="16"/>
                <w:rtl w:val="0"/>
              </w:rPr>
              <w:t xml:space="preserve">Організм</w:t>
            </w:r>
          </w:p>
        </w:tc>
        <w:tc>
          <w:tcPr>
            <w:vAlign w:val="center"/>
          </w:tcPr>
          <w:p w:rsidR="00000000" w:rsidDel="00000000" w:rsidP="00000000" w:rsidRDefault="00000000" w:rsidRPr="00000000" w14:paraId="00000066">
            <w:pPr>
              <w:spacing w:line="240" w:lineRule="auto"/>
              <w:ind w:right="164.17322834645688"/>
              <w:jc w:val="center"/>
              <w:rPr>
                <w:b w:val="1"/>
                <w:bCs w:val="1"/>
                <w:sz w:val="16"/>
                <w:szCs w:val="16"/>
              </w:rPr>
            </w:pPr>
            <w:r w:rsidDel="00000000" w:rsidR="00000000" w:rsidRPr="00000000">
              <w:rPr>
                <w:b w:val="1"/>
                <w:bCs w:val="1"/>
                <w:sz w:val="16"/>
                <w:szCs w:val="16"/>
                <w:rtl w:val="0"/>
              </w:rPr>
              <w:t xml:space="preserve">Результат</w:t>
            </w:r>
          </w:p>
        </w:tc>
      </w:tr>
      <w:tr>
        <w:trPr>
          <w:cantSplit w:val="0"/>
          <w:tblHeader w:val="0"/>
        </w:trPr>
        <w:tc>
          <w:tcPr>
            <w:vAlign w:val="center"/>
          </w:tcPr>
          <w:p w:rsidR="00000000" w:rsidDel="00000000" w:rsidP="00000000" w:rsidRDefault="00000000" w:rsidRPr="00000000" w14:paraId="00000067">
            <w:pPr>
              <w:spacing w:line="240" w:lineRule="auto"/>
              <w:ind w:right="164.17322834645688"/>
              <w:rPr>
                <w:i w:val="1"/>
                <w:iCs w:val="1"/>
                <w:sz w:val="16"/>
                <w:szCs w:val="16"/>
              </w:rPr>
            </w:pPr>
            <w:r w:rsidDel="00000000" w:rsidR="00000000" w:rsidRPr="00000000">
              <w:rPr>
                <w:i w:val="1"/>
                <w:iCs w:val="1"/>
                <w:sz w:val="16"/>
                <w:szCs w:val="16"/>
                <w:rtl w:val="0"/>
              </w:rPr>
              <w:t xml:space="preserve">Pseudomonas aeruginosa</w:t>
            </w:r>
          </w:p>
        </w:tc>
        <w:tc>
          <w:tcPr>
            <w:vAlign w:val="center"/>
          </w:tcPr>
          <w:p w:rsidR="00000000" w:rsidDel="00000000" w:rsidP="00000000" w:rsidRDefault="00000000" w:rsidRPr="00000000" w14:paraId="00000068">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69">
            <w:pPr>
              <w:spacing w:line="240" w:lineRule="auto"/>
              <w:ind w:right="164.17322834645688"/>
              <w:rPr>
                <w:i w:val="1"/>
                <w:iCs w:val="1"/>
                <w:sz w:val="16"/>
                <w:szCs w:val="16"/>
              </w:rPr>
            </w:pPr>
            <w:r w:rsidDel="00000000" w:rsidR="00000000" w:rsidRPr="00000000">
              <w:rPr>
                <w:i w:val="1"/>
                <w:iCs w:val="1"/>
                <w:sz w:val="16"/>
                <w:szCs w:val="16"/>
                <w:rtl w:val="0"/>
              </w:rPr>
              <w:t xml:space="preserve">Klebsiella pneumonia</w:t>
            </w:r>
          </w:p>
        </w:tc>
        <w:tc>
          <w:tcPr>
            <w:vAlign w:val="center"/>
          </w:tcPr>
          <w:p w:rsidR="00000000" w:rsidDel="00000000" w:rsidP="00000000" w:rsidRDefault="00000000" w:rsidRPr="00000000" w14:paraId="0000006A">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6B">
            <w:pPr>
              <w:spacing w:line="240" w:lineRule="auto"/>
              <w:ind w:right="164.17322834645688"/>
              <w:rPr>
                <w:i w:val="1"/>
                <w:iCs w:val="1"/>
                <w:sz w:val="16"/>
                <w:szCs w:val="16"/>
              </w:rPr>
            </w:pPr>
            <w:r w:rsidDel="00000000" w:rsidR="00000000" w:rsidRPr="00000000">
              <w:rPr>
                <w:i w:val="1"/>
                <w:iCs w:val="1"/>
                <w:sz w:val="16"/>
                <w:szCs w:val="16"/>
                <w:rtl w:val="0"/>
              </w:rPr>
              <w:t xml:space="preserve">Enterobacter cloacae</w:t>
            </w:r>
          </w:p>
        </w:tc>
        <w:tc>
          <w:tcPr>
            <w:vAlign w:val="center"/>
          </w:tcPr>
          <w:p w:rsidR="00000000" w:rsidDel="00000000" w:rsidP="00000000" w:rsidRDefault="00000000" w:rsidRPr="00000000" w14:paraId="0000006C">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6D">
            <w:pPr>
              <w:spacing w:line="240" w:lineRule="auto"/>
              <w:ind w:right="164.17322834645688"/>
              <w:rPr>
                <w:i w:val="1"/>
                <w:iCs w:val="1"/>
                <w:sz w:val="16"/>
                <w:szCs w:val="16"/>
              </w:rPr>
            </w:pPr>
            <w:r w:rsidDel="00000000" w:rsidR="00000000" w:rsidRPr="00000000">
              <w:rPr>
                <w:i w:val="1"/>
                <w:iCs w:val="1"/>
                <w:sz w:val="16"/>
                <w:szCs w:val="16"/>
                <w:rtl w:val="0"/>
              </w:rPr>
              <w:t xml:space="preserve">Acinetobacter baumannii</w:t>
            </w:r>
          </w:p>
        </w:tc>
        <w:tc>
          <w:tcPr>
            <w:vAlign w:val="center"/>
          </w:tcPr>
          <w:p w:rsidR="00000000" w:rsidDel="00000000" w:rsidP="00000000" w:rsidRDefault="00000000" w:rsidRPr="00000000" w14:paraId="0000006E">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6F">
            <w:pPr>
              <w:spacing w:line="240" w:lineRule="auto"/>
              <w:ind w:right="164.17322834645688"/>
              <w:rPr>
                <w:i w:val="1"/>
                <w:iCs w:val="1"/>
                <w:sz w:val="16"/>
                <w:szCs w:val="16"/>
              </w:rPr>
            </w:pPr>
            <w:r w:rsidDel="00000000" w:rsidR="00000000" w:rsidRPr="00000000">
              <w:rPr>
                <w:i w:val="1"/>
                <w:iCs w:val="1"/>
                <w:sz w:val="16"/>
                <w:szCs w:val="16"/>
                <w:rtl w:val="0"/>
              </w:rPr>
              <w:t xml:space="preserve">Stenotrophomonas maltophilia</w:t>
            </w:r>
          </w:p>
        </w:tc>
        <w:tc>
          <w:tcPr>
            <w:vAlign w:val="center"/>
          </w:tcPr>
          <w:p w:rsidR="00000000" w:rsidDel="00000000" w:rsidP="00000000" w:rsidRDefault="00000000" w:rsidRPr="00000000" w14:paraId="00000070">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1">
            <w:pPr>
              <w:spacing w:line="240" w:lineRule="auto"/>
              <w:ind w:right="164.17322834645688"/>
              <w:rPr>
                <w:i w:val="1"/>
                <w:iCs w:val="1"/>
                <w:sz w:val="16"/>
                <w:szCs w:val="16"/>
              </w:rPr>
            </w:pPr>
            <w:r w:rsidDel="00000000" w:rsidR="00000000" w:rsidRPr="00000000">
              <w:rPr>
                <w:i w:val="1"/>
                <w:iCs w:val="1"/>
                <w:sz w:val="16"/>
                <w:szCs w:val="16"/>
                <w:rtl w:val="0"/>
              </w:rPr>
              <w:t xml:space="preserve">Staphyloccocus aureus</w:t>
            </w:r>
          </w:p>
        </w:tc>
        <w:tc>
          <w:tcPr>
            <w:vAlign w:val="center"/>
          </w:tcPr>
          <w:p w:rsidR="00000000" w:rsidDel="00000000" w:rsidP="00000000" w:rsidRDefault="00000000" w:rsidRPr="00000000" w14:paraId="00000072">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3">
            <w:pPr>
              <w:spacing w:line="240" w:lineRule="auto"/>
              <w:ind w:right="164.17322834645688"/>
              <w:rPr>
                <w:i w:val="1"/>
                <w:iCs w:val="1"/>
                <w:sz w:val="16"/>
                <w:szCs w:val="16"/>
              </w:rPr>
            </w:pPr>
            <w:r w:rsidDel="00000000" w:rsidR="00000000" w:rsidRPr="00000000">
              <w:rPr>
                <w:i w:val="1"/>
                <w:iCs w:val="1"/>
                <w:sz w:val="16"/>
                <w:szCs w:val="16"/>
                <w:rtl w:val="0"/>
              </w:rPr>
              <w:t xml:space="preserve">Enterococcus faecalis</w:t>
            </w:r>
          </w:p>
        </w:tc>
        <w:tc>
          <w:tcPr>
            <w:vAlign w:val="center"/>
          </w:tcPr>
          <w:p w:rsidR="00000000" w:rsidDel="00000000" w:rsidP="00000000" w:rsidRDefault="00000000" w:rsidRPr="00000000" w14:paraId="00000074">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5">
            <w:pPr>
              <w:spacing w:line="240" w:lineRule="auto"/>
              <w:ind w:right="164.17322834645688"/>
              <w:rPr>
                <w:i w:val="1"/>
                <w:iCs w:val="1"/>
                <w:sz w:val="16"/>
                <w:szCs w:val="16"/>
              </w:rPr>
            </w:pPr>
            <w:r w:rsidDel="00000000" w:rsidR="00000000" w:rsidRPr="00000000">
              <w:rPr>
                <w:i w:val="1"/>
                <w:iCs w:val="1"/>
                <w:sz w:val="16"/>
                <w:szCs w:val="16"/>
                <w:rtl w:val="0"/>
              </w:rPr>
              <w:t xml:space="preserve">Enterococcus faecium</w:t>
            </w:r>
          </w:p>
        </w:tc>
        <w:tc>
          <w:tcPr>
            <w:vAlign w:val="center"/>
          </w:tcPr>
          <w:p w:rsidR="00000000" w:rsidDel="00000000" w:rsidP="00000000" w:rsidRDefault="00000000" w:rsidRPr="00000000" w14:paraId="00000076">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7">
            <w:pPr>
              <w:spacing w:line="240" w:lineRule="auto"/>
              <w:ind w:right="164.17322834645688"/>
              <w:rPr>
                <w:i w:val="1"/>
                <w:iCs w:val="1"/>
                <w:sz w:val="16"/>
                <w:szCs w:val="16"/>
              </w:rPr>
            </w:pPr>
            <w:r w:rsidDel="00000000" w:rsidR="00000000" w:rsidRPr="00000000">
              <w:rPr>
                <w:i w:val="1"/>
                <w:iCs w:val="1"/>
                <w:sz w:val="16"/>
                <w:szCs w:val="16"/>
                <w:rtl w:val="0"/>
              </w:rPr>
              <w:t xml:space="preserve">Bacillus subtilis</w:t>
            </w:r>
          </w:p>
        </w:tc>
        <w:tc>
          <w:tcPr>
            <w:vAlign w:val="center"/>
          </w:tcPr>
          <w:p w:rsidR="00000000" w:rsidDel="00000000" w:rsidP="00000000" w:rsidRDefault="00000000" w:rsidRPr="00000000" w14:paraId="00000078">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9">
            <w:pPr>
              <w:spacing w:line="240" w:lineRule="auto"/>
              <w:ind w:right="164.17322834645688"/>
              <w:rPr>
                <w:i w:val="1"/>
                <w:iCs w:val="1"/>
                <w:sz w:val="16"/>
                <w:szCs w:val="16"/>
              </w:rPr>
            </w:pPr>
            <w:r w:rsidDel="00000000" w:rsidR="00000000" w:rsidRPr="00000000">
              <w:rPr>
                <w:i w:val="1"/>
                <w:iCs w:val="1"/>
                <w:sz w:val="16"/>
                <w:szCs w:val="16"/>
                <w:rtl w:val="0"/>
              </w:rPr>
              <w:t xml:space="preserve">Chlamydia pneumoniae</w:t>
            </w:r>
          </w:p>
        </w:tc>
        <w:tc>
          <w:tcPr>
            <w:vAlign w:val="center"/>
          </w:tcPr>
          <w:p w:rsidR="00000000" w:rsidDel="00000000" w:rsidP="00000000" w:rsidRDefault="00000000" w:rsidRPr="00000000" w14:paraId="0000007A">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B">
            <w:pPr>
              <w:spacing w:line="240" w:lineRule="auto"/>
              <w:ind w:right="164.17322834645688"/>
              <w:rPr>
                <w:i w:val="1"/>
                <w:iCs w:val="1"/>
                <w:sz w:val="16"/>
                <w:szCs w:val="16"/>
              </w:rPr>
            </w:pPr>
            <w:r w:rsidDel="00000000" w:rsidR="00000000" w:rsidRPr="00000000">
              <w:rPr>
                <w:i w:val="1"/>
                <w:iCs w:val="1"/>
                <w:sz w:val="16"/>
                <w:szCs w:val="16"/>
                <w:rtl w:val="0"/>
              </w:rPr>
              <w:t xml:space="preserve">Legionella pneumophila</w:t>
            </w:r>
          </w:p>
        </w:tc>
        <w:tc>
          <w:tcPr>
            <w:vAlign w:val="center"/>
          </w:tcPr>
          <w:p w:rsidR="00000000" w:rsidDel="00000000" w:rsidP="00000000" w:rsidRDefault="00000000" w:rsidRPr="00000000" w14:paraId="0000007C">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D">
            <w:pPr>
              <w:spacing w:line="240" w:lineRule="auto"/>
              <w:ind w:right="164.17322834645688"/>
              <w:rPr>
                <w:i w:val="1"/>
                <w:iCs w:val="1"/>
                <w:sz w:val="16"/>
                <w:szCs w:val="16"/>
              </w:rPr>
            </w:pPr>
            <w:r w:rsidDel="00000000" w:rsidR="00000000" w:rsidRPr="00000000">
              <w:rPr>
                <w:i w:val="1"/>
                <w:iCs w:val="1"/>
                <w:sz w:val="16"/>
                <w:szCs w:val="16"/>
                <w:rtl w:val="0"/>
              </w:rPr>
              <w:t xml:space="preserve">Streptococcus salivarius</w:t>
            </w:r>
          </w:p>
        </w:tc>
        <w:tc>
          <w:tcPr>
            <w:vAlign w:val="center"/>
          </w:tcPr>
          <w:p w:rsidR="00000000" w:rsidDel="00000000" w:rsidP="00000000" w:rsidRDefault="00000000" w:rsidRPr="00000000" w14:paraId="0000007E">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7F">
            <w:pPr>
              <w:spacing w:line="240" w:lineRule="auto"/>
              <w:ind w:right="164.17322834645688"/>
              <w:rPr>
                <w:i w:val="1"/>
                <w:iCs w:val="1"/>
                <w:sz w:val="16"/>
                <w:szCs w:val="16"/>
              </w:rPr>
            </w:pPr>
            <w:r w:rsidDel="00000000" w:rsidR="00000000" w:rsidRPr="00000000">
              <w:rPr>
                <w:i w:val="1"/>
                <w:iCs w:val="1"/>
                <w:sz w:val="16"/>
                <w:szCs w:val="16"/>
                <w:rtl w:val="0"/>
              </w:rPr>
              <w:t xml:space="preserve">Streptococcus pyogenes</w:t>
            </w:r>
          </w:p>
        </w:tc>
        <w:tc>
          <w:tcPr>
            <w:vAlign w:val="center"/>
          </w:tcPr>
          <w:p w:rsidR="00000000" w:rsidDel="00000000" w:rsidP="00000000" w:rsidRDefault="00000000" w:rsidRPr="00000000" w14:paraId="00000080">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1">
            <w:pPr>
              <w:spacing w:line="240" w:lineRule="auto"/>
              <w:ind w:right="164.17322834645688"/>
              <w:rPr>
                <w:i w:val="1"/>
                <w:iCs w:val="1"/>
                <w:sz w:val="16"/>
                <w:szCs w:val="16"/>
              </w:rPr>
            </w:pPr>
            <w:r w:rsidDel="00000000" w:rsidR="00000000" w:rsidRPr="00000000">
              <w:rPr>
                <w:i w:val="1"/>
                <w:iCs w:val="1"/>
                <w:sz w:val="16"/>
                <w:szCs w:val="16"/>
                <w:rtl w:val="0"/>
              </w:rPr>
              <w:t xml:space="preserve">Bordetella pertussis</w:t>
            </w:r>
          </w:p>
        </w:tc>
        <w:tc>
          <w:tcPr>
            <w:vAlign w:val="center"/>
          </w:tcPr>
          <w:p w:rsidR="00000000" w:rsidDel="00000000" w:rsidP="00000000" w:rsidRDefault="00000000" w:rsidRPr="00000000" w14:paraId="00000082">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3">
            <w:pPr>
              <w:spacing w:line="240" w:lineRule="auto"/>
              <w:ind w:right="164.17322834645688"/>
              <w:rPr>
                <w:i w:val="1"/>
                <w:iCs w:val="1"/>
                <w:sz w:val="16"/>
                <w:szCs w:val="16"/>
              </w:rPr>
            </w:pPr>
            <w:r w:rsidDel="00000000" w:rsidR="00000000" w:rsidRPr="00000000">
              <w:rPr>
                <w:i w:val="1"/>
                <w:iCs w:val="1"/>
                <w:sz w:val="16"/>
                <w:szCs w:val="16"/>
                <w:rtl w:val="0"/>
              </w:rPr>
              <w:t xml:space="preserve">Mycoplasma pneumoniae</w:t>
            </w:r>
          </w:p>
        </w:tc>
        <w:tc>
          <w:tcPr>
            <w:vAlign w:val="center"/>
          </w:tcPr>
          <w:p w:rsidR="00000000" w:rsidDel="00000000" w:rsidP="00000000" w:rsidRDefault="00000000" w:rsidRPr="00000000" w14:paraId="00000084">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5">
            <w:pPr>
              <w:spacing w:line="240" w:lineRule="auto"/>
              <w:ind w:right="164.17322834645688"/>
              <w:rPr>
                <w:i w:val="1"/>
                <w:iCs w:val="1"/>
                <w:sz w:val="16"/>
                <w:szCs w:val="16"/>
              </w:rPr>
            </w:pPr>
            <w:r w:rsidDel="00000000" w:rsidR="00000000" w:rsidRPr="00000000">
              <w:rPr>
                <w:i w:val="1"/>
                <w:iCs w:val="1"/>
                <w:sz w:val="16"/>
                <w:szCs w:val="16"/>
                <w:rtl w:val="0"/>
              </w:rPr>
              <w:t xml:space="preserve">Pneumocystis jirovecii (PJP)</w:t>
            </w:r>
          </w:p>
        </w:tc>
        <w:tc>
          <w:tcPr>
            <w:vAlign w:val="center"/>
          </w:tcPr>
          <w:p w:rsidR="00000000" w:rsidDel="00000000" w:rsidP="00000000" w:rsidRDefault="00000000" w:rsidRPr="00000000" w14:paraId="00000086">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7">
            <w:pPr>
              <w:spacing w:line="240" w:lineRule="auto"/>
              <w:ind w:right="164.17322834645688"/>
              <w:rPr>
                <w:i w:val="1"/>
                <w:iCs w:val="1"/>
                <w:sz w:val="16"/>
                <w:szCs w:val="16"/>
              </w:rPr>
            </w:pPr>
            <w:r w:rsidDel="00000000" w:rsidR="00000000" w:rsidRPr="00000000">
              <w:rPr>
                <w:i w:val="1"/>
                <w:iCs w:val="1"/>
                <w:sz w:val="16"/>
                <w:szCs w:val="16"/>
                <w:rtl w:val="0"/>
              </w:rPr>
              <w:t xml:space="preserve">Enterococcus dispar</w:t>
            </w:r>
          </w:p>
        </w:tc>
        <w:tc>
          <w:tcPr>
            <w:vAlign w:val="center"/>
          </w:tcPr>
          <w:p w:rsidR="00000000" w:rsidDel="00000000" w:rsidP="00000000" w:rsidRDefault="00000000" w:rsidRPr="00000000" w14:paraId="00000088">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9">
            <w:pPr>
              <w:spacing w:line="240" w:lineRule="auto"/>
              <w:ind w:right="164.17322834645688"/>
              <w:rPr>
                <w:i w:val="1"/>
                <w:iCs w:val="1"/>
                <w:sz w:val="16"/>
                <w:szCs w:val="16"/>
              </w:rPr>
            </w:pPr>
            <w:r w:rsidDel="00000000" w:rsidR="00000000" w:rsidRPr="00000000">
              <w:rPr>
                <w:i w:val="1"/>
                <w:iCs w:val="1"/>
                <w:sz w:val="16"/>
                <w:szCs w:val="16"/>
                <w:rtl w:val="0"/>
              </w:rPr>
              <w:t xml:space="preserve">Proteus spp.</w:t>
            </w:r>
          </w:p>
        </w:tc>
        <w:tc>
          <w:tcPr>
            <w:vAlign w:val="center"/>
          </w:tcPr>
          <w:p w:rsidR="00000000" w:rsidDel="00000000" w:rsidP="00000000" w:rsidRDefault="00000000" w:rsidRPr="00000000" w14:paraId="0000008A">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B">
            <w:pPr>
              <w:spacing w:line="240" w:lineRule="auto"/>
              <w:ind w:right="164.17322834645688"/>
              <w:rPr>
                <w:i w:val="1"/>
                <w:iCs w:val="1"/>
                <w:sz w:val="16"/>
                <w:szCs w:val="16"/>
              </w:rPr>
            </w:pPr>
            <w:r w:rsidDel="00000000" w:rsidR="00000000" w:rsidRPr="00000000">
              <w:rPr>
                <w:i w:val="1"/>
                <w:iCs w:val="1"/>
                <w:sz w:val="16"/>
                <w:szCs w:val="16"/>
                <w:rtl w:val="0"/>
              </w:rPr>
              <w:t xml:space="preserve">Saccharomyces cerevisiae</w:t>
            </w:r>
          </w:p>
        </w:tc>
        <w:tc>
          <w:tcPr>
            <w:vAlign w:val="center"/>
          </w:tcPr>
          <w:p w:rsidR="00000000" w:rsidDel="00000000" w:rsidP="00000000" w:rsidRDefault="00000000" w:rsidRPr="00000000" w14:paraId="0000008C">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D">
            <w:pPr>
              <w:spacing w:line="240" w:lineRule="auto"/>
              <w:ind w:right="164.17322834645688"/>
              <w:rPr>
                <w:i w:val="1"/>
                <w:iCs w:val="1"/>
                <w:sz w:val="16"/>
                <w:szCs w:val="16"/>
              </w:rPr>
            </w:pPr>
            <w:r w:rsidDel="00000000" w:rsidR="00000000" w:rsidRPr="00000000">
              <w:rPr>
                <w:i w:val="1"/>
                <w:iCs w:val="1"/>
                <w:sz w:val="16"/>
                <w:szCs w:val="16"/>
                <w:rtl w:val="0"/>
              </w:rPr>
              <w:t xml:space="preserve">Schizosaccharomyces pombe</w:t>
            </w:r>
          </w:p>
        </w:tc>
        <w:tc>
          <w:tcPr>
            <w:vAlign w:val="center"/>
          </w:tcPr>
          <w:p w:rsidR="00000000" w:rsidDel="00000000" w:rsidP="00000000" w:rsidRDefault="00000000" w:rsidRPr="00000000" w14:paraId="0000008E">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8F">
            <w:pPr>
              <w:spacing w:line="240" w:lineRule="auto"/>
              <w:ind w:right="164.17322834645688"/>
              <w:rPr>
                <w:i w:val="1"/>
                <w:iCs w:val="1"/>
                <w:sz w:val="16"/>
                <w:szCs w:val="16"/>
              </w:rPr>
            </w:pPr>
            <w:r w:rsidDel="00000000" w:rsidR="00000000" w:rsidRPr="00000000">
              <w:rPr>
                <w:i w:val="1"/>
                <w:iCs w:val="1"/>
                <w:sz w:val="16"/>
                <w:szCs w:val="16"/>
                <w:rtl w:val="0"/>
              </w:rPr>
              <w:t xml:space="preserve">Aspergillus niger</w:t>
            </w:r>
          </w:p>
        </w:tc>
        <w:tc>
          <w:tcPr>
            <w:vAlign w:val="center"/>
          </w:tcPr>
          <w:p w:rsidR="00000000" w:rsidDel="00000000" w:rsidP="00000000" w:rsidRDefault="00000000" w:rsidRPr="00000000" w14:paraId="00000090">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91">
            <w:pPr>
              <w:spacing w:line="240" w:lineRule="auto"/>
              <w:ind w:right="164.17322834645688"/>
              <w:rPr>
                <w:i w:val="1"/>
                <w:iCs w:val="1"/>
                <w:sz w:val="16"/>
                <w:szCs w:val="16"/>
              </w:rPr>
            </w:pPr>
            <w:r w:rsidDel="00000000" w:rsidR="00000000" w:rsidRPr="00000000">
              <w:rPr>
                <w:i w:val="1"/>
                <w:iCs w:val="1"/>
                <w:sz w:val="16"/>
                <w:szCs w:val="16"/>
                <w:rtl w:val="0"/>
              </w:rPr>
              <w:t xml:space="preserve">Salmonella spp.</w:t>
            </w:r>
          </w:p>
        </w:tc>
        <w:tc>
          <w:tcPr>
            <w:vAlign w:val="center"/>
          </w:tcPr>
          <w:p w:rsidR="00000000" w:rsidDel="00000000" w:rsidP="00000000" w:rsidRDefault="00000000" w:rsidRPr="00000000" w14:paraId="00000092">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93">
            <w:pPr>
              <w:spacing w:line="240" w:lineRule="auto"/>
              <w:ind w:right="164.17322834645688"/>
              <w:rPr>
                <w:i w:val="1"/>
                <w:iCs w:val="1"/>
                <w:sz w:val="16"/>
                <w:szCs w:val="16"/>
              </w:rPr>
            </w:pPr>
            <w:r w:rsidDel="00000000" w:rsidR="00000000" w:rsidRPr="00000000">
              <w:rPr>
                <w:i w:val="1"/>
                <w:iCs w:val="1"/>
                <w:sz w:val="16"/>
                <w:szCs w:val="16"/>
                <w:rtl w:val="0"/>
              </w:rPr>
              <w:t xml:space="preserve">Serratia marcescens</w:t>
            </w:r>
          </w:p>
        </w:tc>
        <w:tc>
          <w:tcPr>
            <w:vAlign w:val="center"/>
          </w:tcPr>
          <w:p w:rsidR="00000000" w:rsidDel="00000000" w:rsidP="00000000" w:rsidRDefault="00000000" w:rsidRPr="00000000" w14:paraId="00000094">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95">
            <w:pPr>
              <w:spacing w:line="240" w:lineRule="auto"/>
              <w:ind w:right="164.17322834645688"/>
              <w:rPr>
                <w:sz w:val="16"/>
                <w:szCs w:val="16"/>
              </w:rPr>
            </w:pPr>
            <w:r w:rsidDel="00000000" w:rsidR="00000000" w:rsidRPr="00000000">
              <w:rPr>
                <w:sz w:val="16"/>
                <w:szCs w:val="16"/>
                <w:rtl w:val="0"/>
              </w:rPr>
              <w:t xml:space="preserve">Вірус паранрипу 1-4 типів</w:t>
            </w:r>
          </w:p>
        </w:tc>
        <w:tc>
          <w:tcPr>
            <w:vAlign w:val="center"/>
          </w:tcPr>
          <w:p w:rsidR="00000000" w:rsidDel="00000000" w:rsidP="00000000" w:rsidRDefault="00000000" w:rsidRPr="00000000" w14:paraId="00000096">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97">
            <w:pPr>
              <w:spacing w:line="240" w:lineRule="auto"/>
              <w:ind w:right="164.17322834645688"/>
              <w:rPr>
                <w:sz w:val="16"/>
                <w:szCs w:val="16"/>
              </w:rPr>
            </w:pPr>
            <w:r w:rsidDel="00000000" w:rsidR="00000000" w:rsidRPr="00000000">
              <w:rPr>
                <w:sz w:val="16"/>
                <w:szCs w:val="16"/>
                <w:rtl w:val="0"/>
              </w:rPr>
              <w:t xml:space="preserve">Вірус грипу А та В</w:t>
            </w:r>
          </w:p>
        </w:tc>
        <w:tc>
          <w:tcPr>
            <w:vAlign w:val="center"/>
          </w:tcPr>
          <w:p w:rsidR="00000000" w:rsidDel="00000000" w:rsidP="00000000" w:rsidRDefault="00000000" w:rsidRPr="00000000" w14:paraId="00000098">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99">
            <w:pPr>
              <w:spacing w:line="240" w:lineRule="auto"/>
              <w:ind w:right="164.17322834645688"/>
              <w:rPr>
                <w:sz w:val="16"/>
                <w:szCs w:val="16"/>
              </w:rPr>
            </w:pPr>
            <w:r w:rsidDel="00000000" w:rsidR="00000000" w:rsidRPr="00000000">
              <w:rPr>
                <w:sz w:val="16"/>
                <w:szCs w:val="16"/>
                <w:rtl w:val="0"/>
              </w:rPr>
              <w:t xml:space="preserve">Респіраторно-синцитіальний вірус</w:t>
            </w:r>
          </w:p>
        </w:tc>
        <w:tc>
          <w:tcPr>
            <w:vAlign w:val="center"/>
          </w:tcPr>
          <w:p w:rsidR="00000000" w:rsidDel="00000000" w:rsidP="00000000" w:rsidRDefault="00000000" w:rsidRPr="00000000" w14:paraId="0000009A">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9B">
            <w:pPr>
              <w:spacing w:line="240" w:lineRule="auto"/>
              <w:ind w:right="164.17322834645688"/>
              <w:rPr>
                <w:sz w:val="16"/>
                <w:szCs w:val="16"/>
              </w:rPr>
            </w:pPr>
            <w:r w:rsidDel="00000000" w:rsidR="00000000" w:rsidRPr="00000000">
              <w:rPr>
                <w:sz w:val="16"/>
                <w:szCs w:val="16"/>
                <w:rtl w:val="0"/>
              </w:rPr>
              <w:t xml:space="preserve">Аденовірус (напр. C1 Ad. 71)</w:t>
            </w:r>
          </w:p>
        </w:tc>
        <w:tc>
          <w:tcPr>
            <w:vAlign w:val="center"/>
          </w:tcPr>
          <w:p w:rsidR="00000000" w:rsidDel="00000000" w:rsidP="00000000" w:rsidRDefault="00000000" w:rsidRPr="00000000" w14:paraId="0000009C">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r>
        <w:trPr>
          <w:cantSplit w:val="0"/>
          <w:tblHeader w:val="0"/>
        </w:trPr>
        <w:tc>
          <w:tcPr>
            <w:vAlign w:val="center"/>
          </w:tcPr>
          <w:p w:rsidR="00000000" w:rsidDel="00000000" w:rsidP="00000000" w:rsidRDefault="00000000" w:rsidRPr="00000000" w14:paraId="0000009D">
            <w:pPr>
              <w:spacing w:line="240" w:lineRule="auto"/>
              <w:ind w:right="164.17322834645688"/>
              <w:rPr>
                <w:sz w:val="16"/>
                <w:szCs w:val="16"/>
              </w:rPr>
            </w:pPr>
            <w:r w:rsidDel="00000000" w:rsidR="00000000" w:rsidRPr="00000000">
              <w:rPr>
                <w:sz w:val="16"/>
                <w:szCs w:val="16"/>
                <w:rtl w:val="0"/>
              </w:rPr>
              <w:t xml:space="preserve">Метапневмовірус людини (hMPV)</w:t>
            </w:r>
          </w:p>
        </w:tc>
        <w:tc>
          <w:tcPr>
            <w:vAlign w:val="center"/>
          </w:tcPr>
          <w:p w:rsidR="00000000" w:rsidDel="00000000" w:rsidP="00000000" w:rsidRDefault="00000000" w:rsidRPr="00000000" w14:paraId="0000009E">
            <w:pPr>
              <w:spacing w:line="240" w:lineRule="auto"/>
              <w:ind w:right="164.17322834645688"/>
              <w:jc w:val="center"/>
              <w:rPr>
                <w:sz w:val="16"/>
                <w:szCs w:val="16"/>
              </w:rPr>
            </w:pPr>
            <w:r w:rsidDel="00000000" w:rsidR="00000000" w:rsidRPr="00000000">
              <w:rPr>
                <w:sz w:val="16"/>
                <w:szCs w:val="16"/>
                <w:rtl w:val="0"/>
              </w:rPr>
              <w:t xml:space="preserve">Немає гомології</w:t>
            </w:r>
          </w:p>
        </w:tc>
      </w:tr>
    </w:tbl>
    <w:p w:rsidR="00000000" w:rsidDel="00000000" w:rsidP="00000000" w:rsidRDefault="00000000" w:rsidRPr="00000000" w14:paraId="0000009F">
      <w:pPr>
        <w:spacing w:line="240" w:lineRule="auto"/>
        <w:ind w:right="164.17322834645688"/>
        <w:rPr>
          <w:b w:val="1"/>
          <w:bCs w:val="1"/>
          <w:sz w:val="18"/>
          <w:szCs w:val="18"/>
        </w:rPr>
      </w:pPr>
      <w:r w:rsidDel="00000000" w:rsidR="00000000" w:rsidRPr="00000000">
        <w:rPr>
          <w:rtl w:val="0"/>
        </w:rPr>
      </w:r>
    </w:p>
    <w:p w:rsidR="00000000" w:rsidDel="00000000" w:rsidP="00000000" w:rsidRDefault="00000000" w:rsidRPr="00000000" w14:paraId="000000A0">
      <w:pPr>
        <w:spacing w:line="240" w:lineRule="auto"/>
        <w:ind w:right="164.17322834645688"/>
        <w:rPr>
          <w:b w:val="1"/>
          <w:bCs w:val="1"/>
          <w:sz w:val="18"/>
          <w:szCs w:val="18"/>
        </w:rPr>
      </w:pPr>
      <w:r w:rsidDel="00000000" w:rsidR="00000000" w:rsidRPr="00000000">
        <w:rPr>
          <w:b w:val="1"/>
          <w:bCs w:val="1"/>
          <w:sz w:val="18"/>
          <w:szCs w:val="18"/>
          <w:rtl w:val="0"/>
        </w:rPr>
        <w:t xml:space="preserve">Аналіз перехресної реактивності методом ПЛР</w:t>
      </w:r>
    </w:p>
    <w:tbl>
      <w:tblPr>
        <w:tblStyle w:val="Table3"/>
        <w:tblW w:w="55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1140"/>
        <w:gridCol w:w="1710"/>
        <w:gridCol w:w="990"/>
        <w:tblGridChange w:id="0">
          <w:tblGrid>
            <w:gridCol w:w="1695"/>
            <w:gridCol w:w="1140"/>
            <w:gridCol w:w="1710"/>
            <w:gridCol w:w="990"/>
          </w:tblGrid>
        </w:tblGridChange>
      </w:tblGrid>
      <w:tr>
        <w:trPr>
          <w:cantSplit w:val="0"/>
          <w:tblHeader w:val="0"/>
        </w:trPr>
        <w:tc>
          <w:tcPr>
            <w:vAlign w:val="center"/>
          </w:tcPr>
          <w:p w:rsidR="00000000" w:rsidDel="00000000" w:rsidP="00000000" w:rsidRDefault="00000000" w:rsidRPr="00000000" w14:paraId="000000A1">
            <w:pPr>
              <w:spacing w:line="240" w:lineRule="auto"/>
              <w:ind w:right="164.17322834645688"/>
              <w:jc w:val="center"/>
              <w:rPr>
                <w:sz w:val="16"/>
                <w:szCs w:val="16"/>
              </w:rPr>
            </w:pPr>
            <w:r w:rsidDel="00000000" w:rsidR="00000000" w:rsidRPr="00000000">
              <w:rPr>
                <w:b w:val="1"/>
                <w:bCs w:val="1"/>
                <w:sz w:val="16"/>
                <w:szCs w:val="16"/>
                <w:rtl w:val="0"/>
              </w:rPr>
              <w:t xml:space="preserve">Організм</w:t>
            </w:r>
            <w:r w:rsidDel="00000000" w:rsidR="00000000" w:rsidRPr="00000000">
              <w:rPr>
                <w:rtl w:val="0"/>
              </w:rPr>
            </w:r>
          </w:p>
        </w:tc>
        <w:tc>
          <w:tcPr>
            <w:vAlign w:val="center"/>
          </w:tcPr>
          <w:p w:rsidR="00000000" w:rsidDel="00000000" w:rsidP="00000000" w:rsidRDefault="00000000" w:rsidRPr="00000000" w14:paraId="000000A2">
            <w:pPr>
              <w:spacing w:line="240" w:lineRule="auto"/>
              <w:ind w:right="164.17322834645688"/>
              <w:jc w:val="center"/>
              <w:rPr>
                <w:sz w:val="16"/>
                <w:szCs w:val="16"/>
              </w:rPr>
            </w:pPr>
            <w:r w:rsidDel="00000000" w:rsidR="00000000" w:rsidRPr="00000000">
              <w:rPr>
                <w:b w:val="1"/>
                <w:bCs w:val="1"/>
                <w:sz w:val="16"/>
                <w:szCs w:val="16"/>
                <w:rtl w:val="0"/>
              </w:rPr>
              <w:t xml:space="preserve">Джерело</w:t>
            </w:r>
            <w:r w:rsidDel="00000000" w:rsidR="00000000" w:rsidRPr="00000000">
              <w:rPr>
                <w:rtl w:val="0"/>
              </w:rPr>
            </w:r>
          </w:p>
        </w:tc>
        <w:tc>
          <w:tcPr>
            <w:vAlign w:val="center"/>
          </w:tcPr>
          <w:p w:rsidR="00000000" w:rsidDel="00000000" w:rsidP="00000000" w:rsidRDefault="00000000" w:rsidRPr="00000000" w14:paraId="000000A3">
            <w:pPr>
              <w:spacing w:line="240" w:lineRule="auto"/>
              <w:ind w:right="164.17322834645688"/>
              <w:jc w:val="center"/>
              <w:rPr>
                <w:b w:val="1"/>
                <w:bCs w:val="1"/>
                <w:sz w:val="16"/>
                <w:szCs w:val="16"/>
              </w:rPr>
            </w:pPr>
            <w:r w:rsidDel="00000000" w:rsidR="00000000" w:rsidRPr="00000000">
              <w:rPr>
                <w:b w:val="1"/>
                <w:bCs w:val="1"/>
                <w:sz w:val="16"/>
                <w:szCs w:val="16"/>
                <w:rtl w:val="0"/>
              </w:rPr>
              <w:t xml:space="preserve">Концентрація</w:t>
            </w:r>
          </w:p>
        </w:tc>
        <w:tc>
          <w:tcPr>
            <w:vAlign w:val="center"/>
          </w:tcPr>
          <w:p w:rsidR="00000000" w:rsidDel="00000000" w:rsidP="00000000" w:rsidRDefault="00000000" w:rsidRPr="00000000" w14:paraId="000000A4">
            <w:pPr>
              <w:spacing w:line="240" w:lineRule="auto"/>
              <w:ind w:right="164.17322834645688"/>
              <w:jc w:val="center"/>
              <w:rPr>
                <w:sz w:val="16"/>
                <w:szCs w:val="16"/>
              </w:rPr>
            </w:pPr>
            <w:r w:rsidDel="00000000" w:rsidR="00000000" w:rsidRPr="00000000">
              <w:rPr>
                <w:b w:val="1"/>
                <w:bCs w:val="1"/>
                <w:sz w:val="16"/>
                <w:szCs w:val="16"/>
                <w:rtl w:val="0"/>
              </w:rPr>
              <w:t xml:space="preserve">Результат</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5">
            <w:pPr>
              <w:spacing w:line="240" w:lineRule="auto"/>
              <w:ind w:right="164.17322834645688"/>
              <w:rPr>
                <w:i w:val="1"/>
                <w:iCs w:val="1"/>
                <w:sz w:val="16"/>
                <w:szCs w:val="16"/>
              </w:rPr>
            </w:pPr>
            <w:r w:rsidDel="00000000" w:rsidR="00000000" w:rsidRPr="00000000">
              <w:rPr>
                <w:i w:val="1"/>
                <w:iCs w:val="1"/>
                <w:sz w:val="16"/>
                <w:szCs w:val="16"/>
                <w:rtl w:val="0"/>
              </w:rPr>
              <w:t xml:space="preserve">Pseudomonas aeruginosa</w:t>
            </w:r>
          </w:p>
        </w:tc>
        <w:tc>
          <w:tcPr>
            <w:vAlign w:val="center"/>
          </w:tcPr>
          <w:p w:rsidR="00000000" w:rsidDel="00000000" w:rsidP="00000000" w:rsidRDefault="00000000" w:rsidRPr="00000000" w14:paraId="000000A6">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A7">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A8">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A9">
            <w:pPr>
              <w:spacing w:line="240" w:lineRule="auto"/>
              <w:ind w:right="164.17322834645688"/>
              <w:rPr>
                <w:i w:val="1"/>
                <w:iCs w:val="1"/>
                <w:sz w:val="16"/>
                <w:szCs w:val="16"/>
              </w:rPr>
            </w:pPr>
            <w:r w:rsidDel="00000000" w:rsidR="00000000" w:rsidRPr="00000000">
              <w:rPr>
                <w:i w:val="1"/>
                <w:iCs w:val="1"/>
                <w:sz w:val="16"/>
                <w:szCs w:val="16"/>
                <w:rtl w:val="0"/>
              </w:rPr>
              <w:t xml:space="preserve">Klebsiella pneumonia</w:t>
            </w:r>
          </w:p>
        </w:tc>
        <w:tc>
          <w:tcPr>
            <w:vAlign w:val="center"/>
          </w:tcPr>
          <w:p w:rsidR="00000000" w:rsidDel="00000000" w:rsidP="00000000" w:rsidRDefault="00000000" w:rsidRPr="00000000" w14:paraId="000000AA">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AB">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AC">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AD">
            <w:pPr>
              <w:spacing w:line="240" w:lineRule="auto"/>
              <w:ind w:right="164.17322834645688"/>
              <w:rPr>
                <w:i w:val="1"/>
                <w:iCs w:val="1"/>
                <w:sz w:val="16"/>
                <w:szCs w:val="16"/>
              </w:rPr>
            </w:pPr>
            <w:r w:rsidDel="00000000" w:rsidR="00000000" w:rsidRPr="00000000">
              <w:rPr>
                <w:i w:val="1"/>
                <w:iCs w:val="1"/>
                <w:sz w:val="16"/>
                <w:szCs w:val="16"/>
                <w:rtl w:val="0"/>
              </w:rPr>
              <w:t xml:space="preserve">Enterobacter cloacae</w:t>
            </w:r>
          </w:p>
        </w:tc>
        <w:tc>
          <w:tcPr>
            <w:vAlign w:val="center"/>
          </w:tcPr>
          <w:p w:rsidR="00000000" w:rsidDel="00000000" w:rsidP="00000000" w:rsidRDefault="00000000" w:rsidRPr="00000000" w14:paraId="000000AE">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AF">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B0">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B1">
            <w:pPr>
              <w:spacing w:line="240" w:lineRule="auto"/>
              <w:ind w:right="164.17322834645688"/>
              <w:rPr>
                <w:i w:val="1"/>
                <w:iCs w:val="1"/>
                <w:sz w:val="16"/>
                <w:szCs w:val="16"/>
              </w:rPr>
            </w:pPr>
            <w:r w:rsidDel="00000000" w:rsidR="00000000" w:rsidRPr="00000000">
              <w:rPr>
                <w:i w:val="1"/>
                <w:iCs w:val="1"/>
                <w:sz w:val="16"/>
                <w:szCs w:val="16"/>
                <w:rtl w:val="0"/>
              </w:rPr>
              <w:t xml:space="preserve">Acinetobacter baumannii</w:t>
            </w:r>
          </w:p>
        </w:tc>
        <w:tc>
          <w:tcPr>
            <w:vAlign w:val="center"/>
          </w:tcPr>
          <w:p w:rsidR="00000000" w:rsidDel="00000000" w:rsidP="00000000" w:rsidRDefault="00000000" w:rsidRPr="00000000" w14:paraId="000000B2">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B3">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B4">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B5">
            <w:pPr>
              <w:spacing w:line="240" w:lineRule="auto"/>
              <w:ind w:right="164.17322834645688"/>
              <w:rPr>
                <w:i w:val="1"/>
                <w:iCs w:val="1"/>
                <w:sz w:val="16"/>
                <w:szCs w:val="16"/>
              </w:rPr>
            </w:pPr>
            <w:r w:rsidDel="00000000" w:rsidR="00000000" w:rsidRPr="00000000">
              <w:rPr>
                <w:i w:val="1"/>
                <w:iCs w:val="1"/>
                <w:sz w:val="16"/>
                <w:szCs w:val="16"/>
                <w:rtl w:val="0"/>
              </w:rPr>
              <w:t xml:space="preserve">Stenotrophomonas maltophilia</w:t>
            </w:r>
          </w:p>
        </w:tc>
        <w:tc>
          <w:tcPr>
            <w:vAlign w:val="center"/>
          </w:tcPr>
          <w:p w:rsidR="00000000" w:rsidDel="00000000" w:rsidP="00000000" w:rsidRDefault="00000000" w:rsidRPr="00000000" w14:paraId="000000B6">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B7">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B8">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B9">
            <w:pPr>
              <w:spacing w:line="240" w:lineRule="auto"/>
              <w:ind w:right="164.17322834645688"/>
              <w:rPr>
                <w:i w:val="1"/>
                <w:iCs w:val="1"/>
                <w:sz w:val="16"/>
                <w:szCs w:val="16"/>
              </w:rPr>
            </w:pPr>
            <w:r w:rsidDel="00000000" w:rsidR="00000000" w:rsidRPr="00000000">
              <w:rPr>
                <w:i w:val="1"/>
                <w:iCs w:val="1"/>
                <w:sz w:val="16"/>
                <w:szCs w:val="16"/>
                <w:rtl w:val="0"/>
              </w:rPr>
              <w:t xml:space="preserve">Staphyloccocus aureus</w:t>
            </w:r>
          </w:p>
        </w:tc>
        <w:tc>
          <w:tcPr>
            <w:vAlign w:val="center"/>
          </w:tcPr>
          <w:p w:rsidR="00000000" w:rsidDel="00000000" w:rsidP="00000000" w:rsidRDefault="00000000" w:rsidRPr="00000000" w14:paraId="000000BA">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BB">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BC">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BD">
            <w:pPr>
              <w:spacing w:line="240" w:lineRule="auto"/>
              <w:ind w:right="164.17322834645688"/>
              <w:rPr>
                <w:i w:val="1"/>
                <w:iCs w:val="1"/>
                <w:sz w:val="16"/>
                <w:szCs w:val="16"/>
              </w:rPr>
            </w:pPr>
            <w:r w:rsidDel="00000000" w:rsidR="00000000" w:rsidRPr="00000000">
              <w:rPr>
                <w:i w:val="1"/>
                <w:iCs w:val="1"/>
                <w:sz w:val="16"/>
                <w:szCs w:val="16"/>
                <w:rtl w:val="0"/>
              </w:rPr>
              <w:t xml:space="preserve">Enterococcus faecalis</w:t>
            </w:r>
          </w:p>
        </w:tc>
        <w:tc>
          <w:tcPr>
            <w:vAlign w:val="center"/>
          </w:tcPr>
          <w:p w:rsidR="00000000" w:rsidDel="00000000" w:rsidP="00000000" w:rsidRDefault="00000000" w:rsidRPr="00000000" w14:paraId="000000BE">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BF">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C0">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C1">
            <w:pPr>
              <w:spacing w:line="240" w:lineRule="auto"/>
              <w:ind w:right="164.17322834645688"/>
              <w:rPr>
                <w:i w:val="1"/>
                <w:iCs w:val="1"/>
                <w:sz w:val="16"/>
                <w:szCs w:val="16"/>
              </w:rPr>
            </w:pPr>
            <w:r w:rsidDel="00000000" w:rsidR="00000000" w:rsidRPr="00000000">
              <w:rPr>
                <w:i w:val="1"/>
                <w:iCs w:val="1"/>
                <w:sz w:val="16"/>
                <w:szCs w:val="16"/>
                <w:rtl w:val="0"/>
              </w:rPr>
              <w:t xml:space="preserve">Enterococcus faecium</w:t>
            </w:r>
          </w:p>
        </w:tc>
        <w:tc>
          <w:tcPr>
            <w:vAlign w:val="center"/>
          </w:tcPr>
          <w:p w:rsidR="00000000" w:rsidDel="00000000" w:rsidP="00000000" w:rsidRDefault="00000000" w:rsidRPr="00000000" w14:paraId="000000C2">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C3">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C4">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C5">
            <w:pPr>
              <w:spacing w:line="240" w:lineRule="auto"/>
              <w:ind w:right="164.17322834645688"/>
              <w:rPr>
                <w:i w:val="1"/>
                <w:iCs w:val="1"/>
                <w:sz w:val="16"/>
                <w:szCs w:val="16"/>
              </w:rPr>
            </w:pPr>
            <w:r w:rsidDel="00000000" w:rsidR="00000000" w:rsidRPr="00000000">
              <w:rPr>
                <w:i w:val="1"/>
                <w:iCs w:val="1"/>
                <w:sz w:val="16"/>
                <w:szCs w:val="16"/>
                <w:rtl w:val="0"/>
              </w:rPr>
              <w:t xml:space="preserve">Chlamydia pneumoniae</w:t>
            </w:r>
          </w:p>
        </w:tc>
        <w:tc>
          <w:tcPr>
            <w:vAlign w:val="center"/>
          </w:tcPr>
          <w:p w:rsidR="00000000" w:rsidDel="00000000" w:rsidP="00000000" w:rsidRDefault="00000000" w:rsidRPr="00000000" w14:paraId="000000C6">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C7">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C8">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C9">
            <w:pPr>
              <w:spacing w:line="240" w:lineRule="auto"/>
              <w:ind w:right="164.17322834645688"/>
              <w:rPr>
                <w:i w:val="1"/>
                <w:iCs w:val="1"/>
                <w:sz w:val="16"/>
                <w:szCs w:val="16"/>
              </w:rPr>
            </w:pPr>
            <w:r w:rsidDel="00000000" w:rsidR="00000000" w:rsidRPr="00000000">
              <w:rPr>
                <w:i w:val="1"/>
                <w:iCs w:val="1"/>
                <w:sz w:val="16"/>
                <w:szCs w:val="16"/>
                <w:rtl w:val="0"/>
              </w:rPr>
              <w:t xml:space="preserve">Legionella pneumophila</w:t>
            </w:r>
          </w:p>
        </w:tc>
        <w:tc>
          <w:tcPr>
            <w:vAlign w:val="center"/>
          </w:tcPr>
          <w:p w:rsidR="00000000" w:rsidDel="00000000" w:rsidP="00000000" w:rsidRDefault="00000000" w:rsidRPr="00000000" w14:paraId="000000CA">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CB">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CC">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CD">
            <w:pPr>
              <w:spacing w:line="240" w:lineRule="auto"/>
              <w:ind w:right="164.17322834645688"/>
              <w:rPr>
                <w:i w:val="1"/>
                <w:iCs w:val="1"/>
                <w:sz w:val="16"/>
                <w:szCs w:val="16"/>
              </w:rPr>
            </w:pPr>
            <w:r w:rsidDel="00000000" w:rsidR="00000000" w:rsidRPr="00000000">
              <w:rPr>
                <w:i w:val="1"/>
                <w:iCs w:val="1"/>
                <w:sz w:val="16"/>
                <w:szCs w:val="16"/>
                <w:rtl w:val="0"/>
              </w:rPr>
              <w:t xml:space="preserve">Streptococcus pyogenes</w:t>
            </w:r>
          </w:p>
        </w:tc>
        <w:tc>
          <w:tcPr>
            <w:vAlign w:val="center"/>
          </w:tcPr>
          <w:p w:rsidR="00000000" w:rsidDel="00000000" w:rsidP="00000000" w:rsidRDefault="00000000" w:rsidRPr="00000000" w14:paraId="000000CE">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CF">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D0">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D1">
            <w:pPr>
              <w:spacing w:line="240" w:lineRule="auto"/>
              <w:ind w:right="164.17322834645688"/>
              <w:rPr>
                <w:i w:val="1"/>
                <w:iCs w:val="1"/>
                <w:sz w:val="16"/>
                <w:szCs w:val="16"/>
              </w:rPr>
            </w:pPr>
            <w:r w:rsidDel="00000000" w:rsidR="00000000" w:rsidRPr="00000000">
              <w:rPr>
                <w:i w:val="1"/>
                <w:iCs w:val="1"/>
                <w:sz w:val="16"/>
                <w:szCs w:val="16"/>
                <w:rtl w:val="0"/>
              </w:rPr>
              <w:t xml:space="preserve">Bordetella pertussis</w:t>
            </w:r>
          </w:p>
        </w:tc>
        <w:tc>
          <w:tcPr>
            <w:vAlign w:val="center"/>
          </w:tcPr>
          <w:p w:rsidR="00000000" w:rsidDel="00000000" w:rsidP="00000000" w:rsidRDefault="00000000" w:rsidRPr="00000000" w14:paraId="000000D2">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D3">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D4">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D5">
            <w:pPr>
              <w:spacing w:line="240" w:lineRule="auto"/>
              <w:ind w:right="164.17322834645688"/>
              <w:rPr>
                <w:i w:val="1"/>
                <w:iCs w:val="1"/>
                <w:sz w:val="16"/>
                <w:szCs w:val="16"/>
              </w:rPr>
            </w:pPr>
            <w:r w:rsidDel="00000000" w:rsidR="00000000" w:rsidRPr="00000000">
              <w:rPr>
                <w:i w:val="1"/>
                <w:iCs w:val="1"/>
                <w:sz w:val="16"/>
                <w:szCs w:val="16"/>
                <w:rtl w:val="0"/>
              </w:rPr>
              <w:t xml:space="preserve">Mycoplasma pneumoniae</w:t>
            </w:r>
          </w:p>
        </w:tc>
        <w:tc>
          <w:tcPr>
            <w:vAlign w:val="center"/>
          </w:tcPr>
          <w:p w:rsidR="00000000" w:rsidDel="00000000" w:rsidP="00000000" w:rsidRDefault="00000000" w:rsidRPr="00000000" w14:paraId="000000D6">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D7">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D8">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D9">
            <w:pPr>
              <w:spacing w:line="240" w:lineRule="auto"/>
              <w:ind w:right="164.17322834645688"/>
              <w:rPr>
                <w:i w:val="1"/>
                <w:iCs w:val="1"/>
                <w:sz w:val="16"/>
                <w:szCs w:val="16"/>
              </w:rPr>
            </w:pPr>
            <w:r w:rsidDel="00000000" w:rsidR="00000000" w:rsidRPr="00000000">
              <w:rPr>
                <w:i w:val="1"/>
                <w:iCs w:val="1"/>
                <w:sz w:val="16"/>
                <w:szCs w:val="16"/>
                <w:rtl w:val="0"/>
              </w:rPr>
              <w:t xml:space="preserve">Pneumocystis jirovecii </w:t>
            </w:r>
            <w:r w:rsidDel="00000000" w:rsidR="00000000" w:rsidRPr="00000000">
              <w:rPr>
                <w:sz w:val="16"/>
                <w:szCs w:val="16"/>
                <w:rtl w:val="0"/>
              </w:rPr>
              <w:t xml:space="preserve">(PJP)</w:t>
            </w:r>
            <w:r w:rsidDel="00000000" w:rsidR="00000000" w:rsidRPr="00000000">
              <w:rPr>
                <w:rtl w:val="0"/>
              </w:rPr>
            </w:r>
          </w:p>
        </w:tc>
        <w:tc>
          <w:tcPr>
            <w:vAlign w:val="center"/>
          </w:tcPr>
          <w:p w:rsidR="00000000" w:rsidDel="00000000" w:rsidP="00000000" w:rsidRDefault="00000000" w:rsidRPr="00000000" w14:paraId="000000DA">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DB">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DC">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DD">
            <w:pPr>
              <w:spacing w:line="240" w:lineRule="auto"/>
              <w:ind w:right="164.17322834645688"/>
              <w:rPr>
                <w:i w:val="1"/>
                <w:iCs w:val="1"/>
                <w:sz w:val="16"/>
                <w:szCs w:val="16"/>
              </w:rPr>
            </w:pPr>
            <w:r w:rsidDel="00000000" w:rsidR="00000000" w:rsidRPr="00000000">
              <w:rPr>
                <w:i w:val="1"/>
                <w:iCs w:val="1"/>
                <w:sz w:val="16"/>
                <w:szCs w:val="16"/>
                <w:rtl w:val="0"/>
              </w:rPr>
              <w:t xml:space="preserve">Enterococcus dispar</w:t>
            </w:r>
          </w:p>
        </w:tc>
        <w:tc>
          <w:tcPr>
            <w:vAlign w:val="center"/>
          </w:tcPr>
          <w:p w:rsidR="00000000" w:rsidDel="00000000" w:rsidP="00000000" w:rsidRDefault="00000000" w:rsidRPr="00000000" w14:paraId="000000DE">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DF">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E0">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E1">
            <w:pPr>
              <w:spacing w:line="240" w:lineRule="auto"/>
              <w:ind w:right="164.17322834645688"/>
              <w:rPr>
                <w:i w:val="1"/>
                <w:iCs w:val="1"/>
                <w:sz w:val="16"/>
                <w:szCs w:val="16"/>
              </w:rPr>
            </w:pPr>
            <w:r w:rsidDel="00000000" w:rsidR="00000000" w:rsidRPr="00000000">
              <w:rPr>
                <w:i w:val="1"/>
                <w:iCs w:val="1"/>
                <w:sz w:val="16"/>
                <w:szCs w:val="16"/>
                <w:rtl w:val="0"/>
              </w:rPr>
              <w:t xml:space="preserve">Aspergillus niger</w:t>
            </w:r>
          </w:p>
        </w:tc>
        <w:tc>
          <w:tcPr>
            <w:vAlign w:val="center"/>
          </w:tcPr>
          <w:p w:rsidR="00000000" w:rsidDel="00000000" w:rsidP="00000000" w:rsidRDefault="00000000" w:rsidRPr="00000000" w14:paraId="000000E2">
            <w:pPr>
              <w:spacing w:line="240" w:lineRule="auto"/>
              <w:ind w:right="164.17322834645688"/>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E3">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E4">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E5">
            <w:pPr>
              <w:spacing w:line="240" w:lineRule="auto"/>
              <w:ind w:right="164.17322834645688"/>
              <w:rPr>
                <w:sz w:val="16"/>
                <w:szCs w:val="16"/>
              </w:rPr>
            </w:pPr>
            <w:r w:rsidDel="00000000" w:rsidR="00000000" w:rsidRPr="00000000">
              <w:rPr>
                <w:sz w:val="16"/>
                <w:szCs w:val="16"/>
                <w:rtl w:val="0"/>
              </w:rPr>
              <w:t xml:space="preserve">Коронавірус людини (229E)</w:t>
            </w:r>
          </w:p>
        </w:tc>
        <w:tc>
          <w:tcPr>
            <w:vAlign w:val="center"/>
          </w:tcPr>
          <w:p w:rsidR="00000000" w:rsidDel="00000000" w:rsidP="00000000" w:rsidRDefault="00000000" w:rsidRPr="00000000" w14:paraId="000000E6">
            <w:pPr>
              <w:spacing w:line="240" w:lineRule="auto"/>
              <w:ind w:right="164.17322834645688"/>
              <w:jc w:val="center"/>
              <w:rPr>
                <w:sz w:val="16"/>
                <w:szCs w:val="16"/>
              </w:rPr>
            </w:pPr>
            <w:r w:rsidDel="00000000" w:rsidR="00000000" w:rsidRPr="00000000">
              <w:rPr>
                <w:sz w:val="16"/>
                <w:szCs w:val="16"/>
                <w:rtl w:val="0"/>
              </w:rPr>
              <w:t xml:space="preserve">NIBSC (Кат.№: 09/132)</w:t>
            </w:r>
          </w:p>
        </w:tc>
        <w:tc>
          <w:tcPr>
            <w:vAlign w:val="center"/>
          </w:tcPr>
          <w:p w:rsidR="00000000" w:rsidDel="00000000" w:rsidP="00000000" w:rsidRDefault="00000000" w:rsidRPr="00000000" w14:paraId="000000E7">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E8">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E9">
            <w:pPr>
              <w:spacing w:line="240" w:lineRule="auto"/>
              <w:ind w:right="164.17322834645688"/>
              <w:rPr>
                <w:sz w:val="16"/>
                <w:szCs w:val="16"/>
              </w:rPr>
            </w:pPr>
            <w:r w:rsidDel="00000000" w:rsidR="00000000" w:rsidRPr="00000000">
              <w:rPr>
                <w:sz w:val="16"/>
                <w:szCs w:val="16"/>
                <w:rtl w:val="0"/>
              </w:rPr>
              <w:t xml:space="preserve">Аденовірус</w:t>
            </w:r>
          </w:p>
        </w:tc>
        <w:tc>
          <w:tcPr>
            <w:vAlign w:val="center"/>
          </w:tcPr>
          <w:p w:rsidR="00000000" w:rsidDel="00000000" w:rsidP="00000000" w:rsidRDefault="00000000" w:rsidRPr="00000000" w14:paraId="000000EA">
            <w:pPr>
              <w:spacing w:line="240" w:lineRule="auto"/>
              <w:ind w:right="164.17322834645688"/>
              <w:jc w:val="center"/>
              <w:rPr>
                <w:sz w:val="16"/>
                <w:szCs w:val="16"/>
              </w:rPr>
            </w:pPr>
            <w:r w:rsidDel="00000000" w:rsidR="00000000" w:rsidRPr="00000000">
              <w:rPr>
                <w:sz w:val="16"/>
                <w:szCs w:val="16"/>
                <w:rtl w:val="0"/>
              </w:rPr>
              <w:t xml:space="preserve">NIBSC (Кат.№: 16/324)</w:t>
            </w:r>
          </w:p>
        </w:tc>
        <w:tc>
          <w:tcPr>
            <w:vAlign w:val="center"/>
          </w:tcPr>
          <w:p w:rsidR="00000000" w:rsidDel="00000000" w:rsidP="00000000" w:rsidRDefault="00000000" w:rsidRPr="00000000" w14:paraId="000000EB">
            <w:pPr>
              <w:spacing w:line="240" w:lineRule="auto"/>
              <w:ind w:right="164.17322834645688"/>
              <w:jc w:val="center"/>
              <w:rPr>
                <w:sz w:val="16"/>
                <w:szCs w:val="16"/>
              </w:rPr>
            </w:pPr>
            <w:r w:rsidDel="00000000" w:rsidR="00000000" w:rsidRPr="00000000">
              <w:rPr>
                <w:sz w:val="16"/>
                <w:szCs w:val="16"/>
                <w:rtl w:val="0"/>
              </w:rPr>
              <w:t xml:space="preserve">2.0×10</w:t>
            </w:r>
            <w:r w:rsidDel="00000000" w:rsidR="00000000" w:rsidRPr="00000000">
              <w:rPr>
                <w:sz w:val="16"/>
                <w:szCs w:val="16"/>
                <w:vertAlign w:val="superscript"/>
                <w:rtl w:val="0"/>
              </w:rPr>
              <w:t xml:space="preserve">8 </w:t>
            </w:r>
            <w:r w:rsidDel="00000000" w:rsidR="00000000" w:rsidRPr="00000000">
              <w:rPr>
                <w:sz w:val="16"/>
                <w:szCs w:val="16"/>
                <w:rtl w:val="0"/>
              </w:rPr>
              <w:t xml:space="preserve">МО/мл</w:t>
            </w:r>
          </w:p>
        </w:tc>
        <w:tc>
          <w:tcPr>
            <w:vAlign w:val="center"/>
          </w:tcPr>
          <w:p w:rsidR="00000000" w:rsidDel="00000000" w:rsidP="00000000" w:rsidRDefault="00000000" w:rsidRPr="00000000" w14:paraId="000000EC">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0ED">
            <w:pPr>
              <w:spacing w:line="240" w:lineRule="auto"/>
              <w:ind w:right="164.17322834645688"/>
              <w:rPr>
                <w:sz w:val="16"/>
                <w:szCs w:val="16"/>
              </w:rPr>
            </w:pPr>
            <w:r w:rsidDel="00000000" w:rsidR="00000000" w:rsidRPr="00000000">
              <w:rPr>
                <w:sz w:val="16"/>
                <w:szCs w:val="16"/>
                <w:rtl w:val="0"/>
              </w:rPr>
              <w:t xml:space="preserve">Вірус грипу (A/Christchurch /1/2003, H1N1)</w:t>
            </w:r>
          </w:p>
        </w:tc>
        <w:tc>
          <w:tcPr>
            <w:vAlign w:val="center"/>
          </w:tcPr>
          <w:p w:rsidR="00000000" w:rsidDel="00000000" w:rsidP="00000000" w:rsidRDefault="00000000" w:rsidRPr="00000000" w14:paraId="000000EE">
            <w:pPr>
              <w:spacing w:line="240" w:lineRule="auto"/>
              <w:ind w:right="164.17322834645688"/>
              <w:jc w:val="center"/>
              <w:rPr>
                <w:sz w:val="16"/>
                <w:szCs w:val="16"/>
              </w:rPr>
            </w:pPr>
            <w:r w:rsidDel="00000000" w:rsidR="00000000" w:rsidRPr="00000000">
              <w:rPr>
                <w:sz w:val="16"/>
                <w:szCs w:val="16"/>
                <w:rtl w:val="0"/>
              </w:rPr>
              <w:t xml:space="preserve">NIBSC (Кат.№: 07/296)</w:t>
            </w:r>
          </w:p>
        </w:tc>
        <w:tc>
          <w:tcPr>
            <w:vAlign w:val="center"/>
          </w:tcPr>
          <w:p w:rsidR="00000000" w:rsidDel="00000000" w:rsidP="00000000" w:rsidRDefault="00000000" w:rsidRPr="00000000" w14:paraId="000000EF">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F0">
            <w:pPr>
              <w:spacing w:line="240" w:lineRule="auto"/>
              <w:ind w:right="164.17322834645688"/>
              <w:jc w:val="center"/>
              <w:rPr>
                <w:sz w:val="16"/>
                <w:szCs w:val="16"/>
              </w:rPr>
            </w:pPr>
            <w:r w:rsidDel="00000000" w:rsidR="00000000" w:rsidRPr="00000000">
              <w:rPr>
                <w:sz w:val="16"/>
                <w:szCs w:val="16"/>
                <w:rtl w:val="0"/>
              </w:rPr>
              <w:t xml:space="preserve">Не виявлено</w:t>
            </w:r>
          </w:p>
          <w:p w:rsidR="00000000" w:rsidDel="00000000" w:rsidP="00000000" w:rsidRDefault="00000000" w:rsidRPr="00000000" w14:paraId="000000F1">
            <w:pPr>
              <w:spacing w:line="240" w:lineRule="auto"/>
              <w:ind w:right="164.17322834645688"/>
              <w:jc w:val="center"/>
              <w:rPr>
                <w:sz w:val="16"/>
                <w:szCs w:val="1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2">
            <w:pPr>
              <w:spacing w:line="240" w:lineRule="auto"/>
              <w:ind w:right="164.17322834645688"/>
              <w:rPr>
                <w:sz w:val="16"/>
                <w:szCs w:val="16"/>
              </w:rPr>
            </w:pPr>
            <w:r w:rsidDel="00000000" w:rsidR="00000000" w:rsidRPr="00000000">
              <w:rPr>
                <w:sz w:val="16"/>
                <w:szCs w:val="16"/>
                <w:rtl w:val="0"/>
              </w:rPr>
              <w:t xml:space="preserve">Вірус грипу (A/Wyoming/3/2003, H3N2)</w:t>
            </w:r>
          </w:p>
        </w:tc>
        <w:tc>
          <w:tcPr>
            <w:vAlign w:val="center"/>
          </w:tcPr>
          <w:p w:rsidR="00000000" w:rsidDel="00000000" w:rsidP="00000000" w:rsidRDefault="00000000" w:rsidRPr="00000000" w14:paraId="000000F3">
            <w:pPr>
              <w:spacing w:line="240" w:lineRule="auto"/>
              <w:ind w:right="164.17322834645688"/>
              <w:jc w:val="center"/>
              <w:rPr>
                <w:sz w:val="16"/>
                <w:szCs w:val="16"/>
              </w:rPr>
            </w:pPr>
            <w:r w:rsidDel="00000000" w:rsidR="00000000" w:rsidRPr="00000000">
              <w:rPr>
                <w:sz w:val="16"/>
                <w:szCs w:val="16"/>
                <w:rtl w:val="0"/>
              </w:rPr>
              <w:t xml:space="preserve">NIBSC (Кат.№: 07/298)</w:t>
            </w:r>
          </w:p>
        </w:tc>
        <w:tc>
          <w:tcPr>
            <w:vAlign w:val="center"/>
          </w:tcPr>
          <w:p w:rsidR="00000000" w:rsidDel="00000000" w:rsidP="00000000" w:rsidRDefault="00000000" w:rsidRPr="00000000" w14:paraId="000000F4">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F5">
            <w:pPr>
              <w:spacing w:line="240" w:lineRule="auto"/>
              <w:ind w:right="164.17322834645688"/>
              <w:jc w:val="center"/>
              <w:rPr>
                <w:sz w:val="16"/>
                <w:szCs w:val="16"/>
              </w:rPr>
            </w:pPr>
            <w:r w:rsidDel="00000000" w:rsidR="00000000" w:rsidRPr="00000000">
              <w:rPr>
                <w:sz w:val="16"/>
                <w:szCs w:val="16"/>
                <w:rtl w:val="0"/>
              </w:rPr>
              <w:t xml:space="preserve">Не виявлено</w:t>
            </w:r>
          </w:p>
          <w:p w:rsidR="00000000" w:rsidDel="00000000" w:rsidP="00000000" w:rsidRDefault="00000000" w:rsidRPr="00000000" w14:paraId="000000F6">
            <w:pPr>
              <w:spacing w:line="240" w:lineRule="auto"/>
              <w:ind w:right="164.17322834645688"/>
              <w:jc w:val="center"/>
              <w:rPr>
                <w:sz w:val="16"/>
                <w:szCs w:val="1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7">
            <w:pPr>
              <w:spacing w:line="240" w:lineRule="auto"/>
              <w:ind w:right="164.17322834645688"/>
              <w:rPr>
                <w:sz w:val="16"/>
                <w:szCs w:val="16"/>
              </w:rPr>
            </w:pPr>
            <w:r w:rsidDel="00000000" w:rsidR="00000000" w:rsidRPr="00000000">
              <w:rPr>
                <w:sz w:val="16"/>
                <w:szCs w:val="16"/>
                <w:rtl w:val="0"/>
              </w:rPr>
              <w:t xml:space="preserve">Вірус грипу (B/Jiangsu/10/2003)</w:t>
            </w:r>
          </w:p>
        </w:tc>
        <w:tc>
          <w:tcPr>
            <w:vAlign w:val="center"/>
          </w:tcPr>
          <w:p w:rsidR="00000000" w:rsidDel="00000000" w:rsidP="00000000" w:rsidRDefault="00000000" w:rsidRPr="00000000" w14:paraId="000000F8">
            <w:pPr>
              <w:spacing w:line="240" w:lineRule="auto"/>
              <w:ind w:right="164.17322834645688"/>
              <w:jc w:val="center"/>
              <w:rPr>
                <w:sz w:val="16"/>
                <w:szCs w:val="16"/>
              </w:rPr>
            </w:pPr>
            <w:r w:rsidDel="00000000" w:rsidR="00000000" w:rsidRPr="00000000">
              <w:rPr>
                <w:sz w:val="16"/>
                <w:szCs w:val="16"/>
                <w:rtl w:val="0"/>
              </w:rPr>
              <w:t xml:space="preserve">NIBSC (Кат.№: 07/300)</w:t>
            </w:r>
          </w:p>
        </w:tc>
        <w:tc>
          <w:tcPr>
            <w:vAlign w:val="center"/>
          </w:tcPr>
          <w:p w:rsidR="00000000" w:rsidDel="00000000" w:rsidP="00000000" w:rsidRDefault="00000000" w:rsidRPr="00000000" w14:paraId="000000F9">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FA">
            <w:pPr>
              <w:spacing w:line="240" w:lineRule="auto"/>
              <w:ind w:right="164.17322834645688"/>
              <w:jc w:val="center"/>
              <w:rPr>
                <w:sz w:val="16"/>
                <w:szCs w:val="16"/>
              </w:rPr>
            </w:pPr>
            <w:r w:rsidDel="00000000" w:rsidR="00000000" w:rsidRPr="00000000">
              <w:rPr>
                <w:sz w:val="16"/>
                <w:szCs w:val="16"/>
                <w:rtl w:val="0"/>
              </w:rPr>
              <w:t xml:space="preserve">Не виявлено</w:t>
            </w:r>
          </w:p>
          <w:p w:rsidR="00000000" w:rsidDel="00000000" w:rsidP="00000000" w:rsidRDefault="00000000" w:rsidRPr="00000000" w14:paraId="000000FB">
            <w:pPr>
              <w:spacing w:line="240" w:lineRule="auto"/>
              <w:ind w:right="164.17322834645688"/>
              <w:jc w:val="center"/>
              <w:rPr>
                <w:sz w:val="16"/>
                <w:szCs w:val="1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C">
            <w:pPr>
              <w:spacing w:line="240" w:lineRule="auto"/>
              <w:ind w:right="164.17322834645688"/>
              <w:rPr>
                <w:sz w:val="16"/>
                <w:szCs w:val="16"/>
              </w:rPr>
            </w:pPr>
            <w:r w:rsidDel="00000000" w:rsidR="00000000" w:rsidRPr="00000000">
              <w:rPr>
                <w:sz w:val="16"/>
                <w:szCs w:val="16"/>
                <w:rtl w:val="0"/>
              </w:rPr>
              <w:t xml:space="preserve">Вірус імунодефіциту людини 1 типу (ВІЛ-1, HIV-1)</w:t>
            </w:r>
          </w:p>
        </w:tc>
        <w:tc>
          <w:tcPr>
            <w:vAlign w:val="center"/>
          </w:tcPr>
          <w:p w:rsidR="00000000" w:rsidDel="00000000" w:rsidP="00000000" w:rsidRDefault="00000000" w:rsidRPr="00000000" w14:paraId="000000FD">
            <w:pPr>
              <w:spacing w:line="240" w:lineRule="auto"/>
              <w:ind w:right="164.17322834645688"/>
              <w:jc w:val="center"/>
              <w:rPr>
                <w:sz w:val="16"/>
                <w:szCs w:val="16"/>
              </w:rPr>
            </w:pPr>
            <w:r w:rsidDel="00000000" w:rsidR="00000000" w:rsidRPr="00000000">
              <w:rPr>
                <w:sz w:val="16"/>
                <w:szCs w:val="16"/>
                <w:rtl w:val="0"/>
              </w:rPr>
              <w:t xml:space="preserve">NIBSC (Кат.№: 16/194)</w:t>
            </w:r>
          </w:p>
        </w:tc>
        <w:tc>
          <w:tcPr>
            <w:vAlign w:val="center"/>
          </w:tcPr>
          <w:p w:rsidR="00000000" w:rsidDel="00000000" w:rsidP="00000000" w:rsidRDefault="00000000" w:rsidRPr="00000000" w14:paraId="000000FE">
            <w:pPr>
              <w:spacing w:line="240" w:lineRule="auto"/>
              <w:ind w:right="164.17322834645688"/>
              <w:jc w:val="center"/>
              <w:rPr>
                <w:sz w:val="16"/>
                <w:szCs w:val="16"/>
              </w:rPr>
            </w:pPr>
            <w:r w:rsidDel="00000000" w:rsidR="00000000" w:rsidRPr="00000000">
              <w:rPr>
                <w:sz w:val="16"/>
                <w:szCs w:val="16"/>
                <w:rtl w:val="0"/>
              </w:rPr>
              <w:t xml:space="preserve">1.25×10</w:t>
            </w:r>
            <w:r w:rsidDel="00000000" w:rsidR="00000000" w:rsidRPr="00000000">
              <w:rPr>
                <w:sz w:val="16"/>
                <w:szCs w:val="16"/>
                <w:vertAlign w:val="superscript"/>
                <w:rtl w:val="0"/>
              </w:rPr>
              <w:t xml:space="preserve">5 </w:t>
            </w:r>
            <w:r w:rsidDel="00000000" w:rsidR="00000000" w:rsidRPr="00000000">
              <w:rPr>
                <w:sz w:val="16"/>
                <w:szCs w:val="16"/>
                <w:rtl w:val="0"/>
              </w:rPr>
              <w:t xml:space="preserve">МО/мл</w:t>
            </w:r>
          </w:p>
        </w:tc>
        <w:tc>
          <w:tcPr>
            <w:vAlign w:val="center"/>
          </w:tcPr>
          <w:p w:rsidR="00000000" w:rsidDel="00000000" w:rsidP="00000000" w:rsidRDefault="00000000" w:rsidRPr="00000000" w14:paraId="000000FF">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100">
            <w:pPr>
              <w:spacing w:line="240" w:lineRule="auto"/>
              <w:ind w:right="164.17322834645688"/>
              <w:rPr>
                <w:sz w:val="16"/>
                <w:szCs w:val="16"/>
              </w:rPr>
            </w:pPr>
            <w:r w:rsidDel="00000000" w:rsidR="00000000" w:rsidRPr="00000000">
              <w:rPr>
                <w:sz w:val="16"/>
                <w:szCs w:val="16"/>
                <w:rtl w:val="0"/>
              </w:rPr>
              <w:t xml:space="preserve">Вірус імунодефіциту людини 2 типу (ВІЛ-2, HIV-2)</w:t>
            </w:r>
          </w:p>
        </w:tc>
        <w:tc>
          <w:tcPr>
            <w:vAlign w:val="center"/>
          </w:tcPr>
          <w:p w:rsidR="00000000" w:rsidDel="00000000" w:rsidP="00000000" w:rsidRDefault="00000000" w:rsidRPr="00000000" w14:paraId="00000101">
            <w:pPr>
              <w:spacing w:line="240" w:lineRule="auto"/>
              <w:ind w:right="164.17322834645688"/>
              <w:jc w:val="center"/>
              <w:rPr>
                <w:sz w:val="16"/>
                <w:szCs w:val="16"/>
              </w:rPr>
            </w:pPr>
            <w:r w:rsidDel="00000000" w:rsidR="00000000" w:rsidRPr="00000000">
              <w:rPr>
                <w:sz w:val="16"/>
                <w:szCs w:val="16"/>
                <w:rtl w:val="0"/>
              </w:rPr>
              <w:t xml:space="preserve">NIBSC (Кат.№: 16/296)</w:t>
            </w:r>
          </w:p>
        </w:tc>
        <w:tc>
          <w:tcPr>
            <w:vAlign w:val="center"/>
          </w:tcPr>
          <w:p w:rsidR="00000000" w:rsidDel="00000000" w:rsidP="00000000" w:rsidRDefault="00000000" w:rsidRPr="00000000" w14:paraId="00000102">
            <w:pPr>
              <w:spacing w:line="240" w:lineRule="auto"/>
              <w:ind w:right="164.17322834645688"/>
              <w:jc w:val="center"/>
              <w:rPr>
                <w:sz w:val="16"/>
                <w:szCs w:val="16"/>
              </w:rPr>
            </w:pPr>
            <w:r w:rsidDel="00000000" w:rsidR="00000000" w:rsidRPr="00000000">
              <w:rPr>
                <w:sz w:val="16"/>
                <w:szCs w:val="16"/>
                <w:rtl w:val="0"/>
              </w:rPr>
              <w:t xml:space="preserve">2.8×10</w:t>
            </w:r>
            <w:r w:rsidDel="00000000" w:rsidR="00000000" w:rsidRPr="00000000">
              <w:rPr>
                <w:sz w:val="16"/>
                <w:szCs w:val="16"/>
                <w:vertAlign w:val="superscript"/>
                <w:rtl w:val="0"/>
              </w:rPr>
              <w:t xml:space="preserve">5 </w:t>
            </w:r>
            <w:r w:rsidDel="00000000" w:rsidR="00000000" w:rsidRPr="00000000">
              <w:rPr>
                <w:sz w:val="16"/>
                <w:szCs w:val="16"/>
                <w:rtl w:val="0"/>
              </w:rPr>
              <w:t xml:space="preserve">МО/мл</w:t>
            </w:r>
          </w:p>
        </w:tc>
        <w:tc>
          <w:tcPr>
            <w:vAlign w:val="center"/>
          </w:tcPr>
          <w:p w:rsidR="00000000" w:rsidDel="00000000" w:rsidP="00000000" w:rsidRDefault="00000000" w:rsidRPr="00000000" w14:paraId="00000103">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104">
            <w:pPr>
              <w:spacing w:line="240" w:lineRule="auto"/>
              <w:ind w:right="164.17322834645688"/>
              <w:rPr>
                <w:sz w:val="16"/>
                <w:szCs w:val="16"/>
              </w:rPr>
            </w:pPr>
            <w:r w:rsidDel="00000000" w:rsidR="00000000" w:rsidRPr="00000000">
              <w:rPr>
                <w:sz w:val="16"/>
                <w:szCs w:val="16"/>
                <w:rtl w:val="0"/>
              </w:rPr>
              <w:t xml:space="preserve">Респіраторно-синцитільний вірус A2</w:t>
            </w:r>
          </w:p>
        </w:tc>
        <w:tc>
          <w:tcPr>
            <w:vAlign w:val="center"/>
          </w:tcPr>
          <w:p w:rsidR="00000000" w:rsidDel="00000000" w:rsidP="00000000" w:rsidRDefault="00000000" w:rsidRPr="00000000" w14:paraId="00000105">
            <w:pPr>
              <w:spacing w:line="240" w:lineRule="auto"/>
              <w:ind w:right="164.17322834645688"/>
              <w:jc w:val="center"/>
              <w:rPr>
                <w:sz w:val="16"/>
                <w:szCs w:val="16"/>
              </w:rPr>
            </w:pPr>
            <w:r w:rsidDel="00000000" w:rsidR="00000000" w:rsidRPr="00000000">
              <w:rPr>
                <w:sz w:val="16"/>
                <w:szCs w:val="16"/>
                <w:rtl w:val="0"/>
              </w:rPr>
              <w:t xml:space="preserve">NIBSC (Кат.№: 08/120)</w:t>
            </w:r>
          </w:p>
        </w:tc>
        <w:tc>
          <w:tcPr>
            <w:vAlign w:val="center"/>
          </w:tcPr>
          <w:p w:rsidR="00000000" w:rsidDel="00000000" w:rsidP="00000000" w:rsidRDefault="00000000" w:rsidRPr="00000000" w14:paraId="00000106">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107">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108">
            <w:pPr>
              <w:spacing w:line="240" w:lineRule="auto"/>
              <w:ind w:right="164.17322834645688"/>
              <w:rPr>
                <w:sz w:val="16"/>
                <w:szCs w:val="16"/>
              </w:rPr>
            </w:pPr>
            <w:r w:rsidDel="00000000" w:rsidR="00000000" w:rsidRPr="00000000">
              <w:rPr>
                <w:sz w:val="16"/>
                <w:szCs w:val="16"/>
                <w:rtl w:val="0"/>
              </w:rPr>
              <w:t xml:space="preserve">Вірус парагрипу  1 типу</w:t>
            </w:r>
          </w:p>
        </w:tc>
        <w:tc>
          <w:tcPr>
            <w:vAlign w:val="center"/>
          </w:tcPr>
          <w:p w:rsidR="00000000" w:rsidDel="00000000" w:rsidP="00000000" w:rsidRDefault="00000000" w:rsidRPr="00000000" w14:paraId="00000109">
            <w:pPr>
              <w:spacing w:line="240" w:lineRule="auto"/>
              <w:ind w:right="164.17322834645688"/>
              <w:jc w:val="center"/>
              <w:rPr>
                <w:sz w:val="16"/>
                <w:szCs w:val="16"/>
              </w:rPr>
            </w:pPr>
            <w:r w:rsidDel="00000000" w:rsidR="00000000" w:rsidRPr="00000000">
              <w:rPr>
                <w:sz w:val="16"/>
                <w:szCs w:val="16"/>
                <w:rtl w:val="0"/>
              </w:rPr>
              <w:t xml:space="preserve">NIBSC (Кат.№: 08/176)</w:t>
            </w:r>
          </w:p>
        </w:tc>
        <w:tc>
          <w:tcPr>
            <w:vAlign w:val="center"/>
          </w:tcPr>
          <w:p w:rsidR="00000000" w:rsidDel="00000000" w:rsidP="00000000" w:rsidRDefault="00000000" w:rsidRPr="00000000" w14:paraId="0000010A">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10B">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10C">
            <w:pPr>
              <w:spacing w:line="240" w:lineRule="auto"/>
              <w:ind w:right="164.17322834645688"/>
              <w:rPr>
                <w:sz w:val="16"/>
                <w:szCs w:val="16"/>
              </w:rPr>
            </w:pPr>
            <w:r w:rsidDel="00000000" w:rsidR="00000000" w:rsidRPr="00000000">
              <w:rPr>
                <w:sz w:val="16"/>
                <w:szCs w:val="16"/>
                <w:rtl w:val="0"/>
              </w:rPr>
              <w:t xml:space="preserve">Вірус парагрипу 2 типу</w:t>
            </w:r>
          </w:p>
        </w:tc>
        <w:tc>
          <w:tcPr>
            <w:vAlign w:val="center"/>
          </w:tcPr>
          <w:p w:rsidR="00000000" w:rsidDel="00000000" w:rsidP="00000000" w:rsidRDefault="00000000" w:rsidRPr="00000000" w14:paraId="0000010D">
            <w:pPr>
              <w:spacing w:line="240" w:lineRule="auto"/>
              <w:ind w:right="164.17322834645688"/>
              <w:jc w:val="center"/>
              <w:rPr>
                <w:sz w:val="16"/>
                <w:szCs w:val="16"/>
              </w:rPr>
            </w:pPr>
            <w:r w:rsidDel="00000000" w:rsidR="00000000" w:rsidRPr="00000000">
              <w:rPr>
                <w:sz w:val="16"/>
                <w:szCs w:val="16"/>
                <w:rtl w:val="0"/>
              </w:rPr>
              <w:t xml:space="preserve">NIBSC (Кат.№: 08/178)</w:t>
            </w:r>
          </w:p>
        </w:tc>
        <w:tc>
          <w:tcPr>
            <w:vAlign w:val="center"/>
          </w:tcPr>
          <w:p w:rsidR="00000000" w:rsidDel="00000000" w:rsidP="00000000" w:rsidRDefault="00000000" w:rsidRPr="00000000" w14:paraId="0000010E">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10F">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110">
            <w:pPr>
              <w:spacing w:line="240" w:lineRule="auto"/>
              <w:ind w:right="164.17322834645688"/>
              <w:rPr>
                <w:sz w:val="16"/>
                <w:szCs w:val="16"/>
              </w:rPr>
            </w:pPr>
            <w:r w:rsidDel="00000000" w:rsidR="00000000" w:rsidRPr="00000000">
              <w:rPr>
                <w:sz w:val="16"/>
                <w:szCs w:val="16"/>
                <w:rtl w:val="0"/>
              </w:rPr>
              <w:t xml:space="preserve">Вірус парагрипу 3 типу</w:t>
            </w:r>
          </w:p>
        </w:tc>
        <w:tc>
          <w:tcPr>
            <w:vAlign w:val="center"/>
          </w:tcPr>
          <w:p w:rsidR="00000000" w:rsidDel="00000000" w:rsidP="00000000" w:rsidRDefault="00000000" w:rsidRPr="00000000" w14:paraId="00000111">
            <w:pPr>
              <w:spacing w:line="240" w:lineRule="auto"/>
              <w:ind w:right="164.17322834645688"/>
              <w:jc w:val="center"/>
              <w:rPr>
                <w:sz w:val="16"/>
                <w:szCs w:val="16"/>
              </w:rPr>
            </w:pPr>
            <w:r w:rsidDel="00000000" w:rsidR="00000000" w:rsidRPr="00000000">
              <w:rPr>
                <w:sz w:val="16"/>
                <w:szCs w:val="16"/>
                <w:rtl w:val="0"/>
              </w:rPr>
              <w:t xml:space="preserve">NIBSC (Кат.№: 08/118)</w:t>
            </w:r>
          </w:p>
        </w:tc>
        <w:tc>
          <w:tcPr>
            <w:vAlign w:val="center"/>
          </w:tcPr>
          <w:p w:rsidR="00000000" w:rsidDel="00000000" w:rsidP="00000000" w:rsidRDefault="00000000" w:rsidRPr="00000000" w14:paraId="00000112">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113">
            <w:pPr>
              <w:spacing w:line="240" w:lineRule="auto"/>
              <w:ind w:right="164.17322834645688"/>
              <w:jc w:val="center"/>
              <w:rPr>
                <w:sz w:val="16"/>
                <w:szCs w:val="16"/>
              </w:rPr>
            </w:pPr>
            <w:r w:rsidDel="00000000" w:rsidR="00000000" w:rsidRPr="00000000">
              <w:rPr>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114">
            <w:pPr>
              <w:spacing w:line="240" w:lineRule="auto"/>
              <w:ind w:right="164.17322834645688"/>
              <w:rPr>
                <w:sz w:val="16"/>
                <w:szCs w:val="16"/>
              </w:rPr>
            </w:pPr>
            <w:r w:rsidDel="00000000" w:rsidR="00000000" w:rsidRPr="00000000">
              <w:rPr>
                <w:sz w:val="16"/>
                <w:szCs w:val="16"/>
                <w:rtl w:val="0"/>
              </w:rPr>
              <w:t xml:space="preserve">Вірус парагрипу 4 типу</w:t>
            </w:r>
          </w:p>
        </w:tc>
        <w:tc>
          <w:tcPr>
            <w:vAlign w:val="center"/>
          </w:tcPr>
          <w:p w:rsidR="00000000" w:rsidDel="00000000" w:rsidP="00000000" w:rsidRDefault="00000000" w:rsidRPr="00000000" w14:paraId="00000115">
            <w:pPr>
              <w:spacing w:line="240" w:lineRule="auto"/>
              <w:ind w:right="164.17322834645688"/>
              <w:jc w:val="center"/>
              <w:rPr>
                <w:sz w:val="16"/>
                <w:szCs w:val="16"/>
              </w:rPr>
            </w:pPr>
            <w:r w:rsidDel="00000000" w:rsidR="00000000" w:rsidRPr="00000000">
              <w:rPr>
                <w:sz w:val="16"/>
                <w:szCs w:val="16"/>
                <w:rtl w:val="0"/>
              </w:rPr>
              <w:t xml:space="preserve">NIBSC (Кат.№: 08/180)</w:t>
            </w:r>
          </w:p>
        </w:tc>
        <w:tc>
          <w:tcPr>
            <w:vAlign w:val="center"/>
          </w:tcPr>
          <w:p w:rsidR="00000000" w:rsidDel="00000000" w:rsidP="00000000" w:rsidRDefault="00000000" w:rsidRPr="00000000" w14:paraId="00000116">
            <w:pPr>
              <w:spacing w:line="240" w:lineRule="auto"/>
              <w:ind w:right="164.17322834645688"/>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117">
            <w:pPr>
              <w:spacing w:line="240" w:lineRule="auto"/>
              <w:ind w:right="164.17322834645688"/>
              <w:jc w:val="center"/>
              <w:rPr>
                <w:sz w:val="16"/>
                <w:szCs w:val="16"/>
              </w:rPr>
            </w:pPr>
            <w:r w:rsidDel="00000000" w:rsidR="00000000" w:rsidRPr="00000000">
              <w:rPr>
                <w:sz w:val="16"/>
                <w:szCs w:val="16"/>
                <w:rtl w:val="0"/>
              </w:rPr>
              <w:t xml:space="preserve">Не виявлено</w:t>
            </w:r>
          </w:p>
        </w:tc>
      </w:tr>
    </w:tbl>
    <w:p w:rsidR="00000000" w:rsidDel="00000000" w:rsidP="00000000" w:rsidRDefault="00000000" w:rsidRPr="00000000" w14:paraId="00000118">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19">
      <w:pPr>
        <w:spacing w:line="240" w:lineRule="auto"/>
        <w:ind w:right="164.17322834645688"/>
        <w:rPr>
          <w:b w:val="1"/>
          <w:bCs w:val="1"/>
          <w:sz w:val="18"/>
          <w:szCs w:val="18"/>
        </w:rPr>
      </w:pPr>
      <w:r w:rsidDel="00000000" w:rsidR="00000000" w:rsidRPr="00000000">
        <w:rPr>
          <w:b w:val="1"/>
          <w:bCs w:val="1"/>
          <w:sz w:val="18"/>
          <w:szCs w:val="18"/>
          <w:rtl w:val="0"/>
        </w:rPr>
        <w:t xml:space="preserve">Порівняльні клінічні випробування:</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 w:line="240" w:lineRule="auto"/>
        <w:ind w:right="164.17322834645688"/>
        <w:jc w:val="both"/>
        <w:rPr>
          <w:sz w:val="18"/>
          <w:szCs w:val="18"/>
        </w:rPr>
      </w:pPr>
      <w:r w:rsidDel="00000000" w:rsidR="00000000" w:rsidRPr="00000000">
        <w:rPr>
          <w:sz w:val="18"/>
          <w:szCs w:val="18"/>
          <w:rtl w:val="0"/>
        </w:rPr>
        <w:t xml:space="preserve">Ефективність роботи </w:t>
      </w:r>
      <w:r w:rsidDel="00000000" w:rsidR="00000000" w:rsidRPr="00000000">
        <w:rPr>
          <w:sz w:val="18"/>
          <w:szCs w:val="18"/>
          <w:rtl w:val="0"/>
        </w:rPr>
        <w:t xml:space="preserve">набору RevoDx Mycoplasma genitalium/Ureaplasma parvum/urealytıcum qPCR Kit </w:t>
      </w:r>
      <w:r w:rsidDel="00000000" w:rsidR="00000000" w:rsidRPr="00000000">
        <w:rPr>
          <w:sz w:val="18"/>
          <w:szCs w:val="18"/>
          <w:rtl w:val="0"/>
        </w:rPr>
        <w:t xml:space="preserve">оцінювали за допомогою архівних </w:t>
      </w:r>
      <w:r w:rsidDel="00000000" w:rsidR="00000000" w:rsidRPr="00000000">
        <w:rPr>
          <w:sz w:val="18"/>
          <w:szCs w:val="18"/>
          <w:rtl w:val="0"/>
        </w:rPr>
        <w:t xml:space="preserve">зразків сечі, урогенітальних або цервікальних мазків</w:t>
      </w:r>
      <w:r w:rsidDel="00000000" w:rsidR="00000000" w:rsidRPr="00000000">
        <w:rPr>
          <w:sz w:val="18"/>
          <w:szCs w:val="18"/>
          <w:rtl w:val="0"/>
        </w:rPr>
        <w:t xml:space="preserve">. Для кожного збудника було протестовано загалом 20 позитивних і 20 негативних зразків у рандомізованому сліпому дослідженні. Всі 20 позитивних зразків і 20 негативних зразків були отримані з лабораторії державної лікарні і попередньо протестовані за допомогою валідованого порівняльного аналізу. Зразки були виділені за допомогою </w:t>
      </w:r>
      <w:r w:rsidDel="00000000" w:rsidR="00000000" w:rsidRPr="00000000">
        <w:rPr>
          <w:sz w:val="18"/>
          <w:szCs w:val="18"/>
          <w:rtl w:val="0"/>
        </w:rPr>
        <w:t xml:space="preserve">RevoDx Pathogen DNA/RNA Purification Kit </w:t>
      </w:r>
      <w:r w:rsidDel="00000000" w:rsidR="00000000" w:rsidRPr="00000000">
        <w:rPr>
          <w:sz w:val="18"/>
          <w:szCs w:val="18"/>
          <w:rtl w:val="0"/>
        </w:rPr>
        <w:t xml:space="preserve">відповідно до інструкції до продукту. Потім проводили аналіз методом ПЛР за допомогою набору </w:t>
      </w:r>
      <w:r w:rsidDel="00000000" w:rsidR="00000000" w:rsidRPr="00000000">
        <w:rPr>
          <w:sz w:val="18"/>
          <w:szCs w:val="18"/>
          <w:rtl w:val="0"/>
        </w:rPr>
        <w:t xml:space="preserve">RevoDx Mycoplasma genitalium/Ureaplasma parvum/urealytıcum qPCR Kit </w:t>
      </w:r>
      <w:r w:rsidDel="00000000" w:rsidR="00000000" w:rsidRPr="00000000">
        <w:rPr>
          <w:sz w:val="18"/>
          <w:szCs w:val="18"/>
          <w:rtl w:val="0"/>
        </w:rPr>
        <w:t xml:space="preserve">відповідно до інструкції з експлуатації. Для ампліфікації, детектування та аналізу використовували ПЛР-ампліфікатор BIO-RAD CFX96.</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right="164.17322834645688"/>
        <w:jc w:val="both"/>
        <w:rPr>
          <w:sz w:val="18"/>
          <w:szCs w:val="18"/>
        </w:rPr>
      </w:pPr>
      <w:r w:rsidDel="00000000" w:rsidR="00000000" w:rsidRPr="00000000">
        <w:rPr>
          <w:sz w:val="18"/>
          <w:szCs w:val="18"/>
          <w:rtl w:val="0"/>
        </w:rPr>
        <w:t xml:space="preserve">За результатами тестування отримали 100% збіг з очікуваними результатами.</w:t>
      </w:r>
      <w:r w:rsidDel="00000000" w:rsidR="00000000" w:rsidRPr="00000000">
        <w:rPr>
          <w:rtl w:val="0"/>
        </w:rPr>
      </w:r>
    </w:p>
    <w:p w:rsidR="00000000" w:rsidDel="00000000" w:rsidP="00000000" w:rsidRDefault="00000000" w:rsidRPr="00000000" w14:paraId="0000011C">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1D">
      <w:pPr>
        <w:spacing w:line="240" w:lineRule="auto"/>
        <w:ind w:right="164.17322834645688"/>
        <w:jc w:val="both"/>
        <w:rPr/>
      </w:pPr>
      <w:r w:rsidDel="00000000" w:rsidR="00000000" w:rsidRPr="00000000">
        <w:rPr>
          <w:b w:val="1"/>
          <w:bCs w:val="1"/>
          <w:rtl w:val="0"/>
        </w:rPr>
        <w:t xml:space="preserve">Додаткові матеріали та обладнання</w:t>
      </w:r>
      <w:r w:rsidDel="00000000" w:rsidR="00000000" w:rsidRPr="00000000">
        <w:rPr>
          <w:rtl w:val="0"/>
        </w:rPr>
      </w:r>
    </w:p>
    <w:p w:rsidR="00000000" w:rsidDel="00000000" w:rsidP="00000000" w:rsidRDefault="00000000" w:rsidRPr="00000000" w14:paraId="0000011E">
      <w:pPr>
        <w:widowControl w:val="1"/>
        <w:numPr>
          <w:ilvl w:val="0"/>
          <w:numId w:val="3"/>
        </w:numPr>
        <w:ind w:left="720" w:hanging="360"/>
        <w:jc w:val="both"/>
        <w:rPr>
          <w:sz w:val="18"/>
          <w:szCs w:val="18"/>
        </w:rPr>
      </w:pPr>
      <w:r w:rsidDel="00000000" w:rsidR="00000000" w:rsidRPr="00000000">
        <w:rPr>
          <w:sz w:val="18"/>
          <w:szCs w:val="18"/>
          <w:rtl w:val="0"/>
        </w:rPr>
        <w:t xml:space="preserve">Набір для виділення ДНК/РНК RevoDx Pathogen DNA/RNA Purification Kit (Кат. No: IP202302; idil biotech, Туреччина) або RevoDx Magnetic Pathogen DNA/RNA Purification Kit (Кат. No: IP202303; idil biotech, Туреччина) або реагент DirEXT OneStep Pathogen DNA/RNA Extraction Reagent (Кат. No: IP202319; idil biotech, Туреччина)</w:t>
      </w:r>
      <w:r w:rsidDel="00000000" w:rsidR="00000000" w:rsidRPr="00000000">
        <w:rPr>
          <w:rtl w:val="0"/>
        </w:rPr>
      </w:r>
    </w:p>
    <w:p w:rsidR="00000000" w:rsidDel="00000000" w:rsidP="00000000" w:rsidRDefault="00000000" w:rsidRPr="00000000" w14:paraId="0000011F">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Ампліфікатор для ПЛР у режимі реального часу</w:t>
      </w:r>
    </w:p>
    <w:p w:rsidR="00000000" w:rsidDel="00000000" w:rsidP="00000000" w:rsidRDefault="00000000" w:rsidRPr="00000000" w14:paraId="00000120">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Відповідні засоби індивідуального захисту (халат, рукавички, окуляри) </w:t>
      </w:r>
    </w:p>
    <w:p w:rsidR="00000000" w:rsidDel="00000000" w:rsidP="00000000" w:rsidRDefault="00000000" w:rsidRPr="00000000" w14:paraId="00000121">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Мікропіпетки (0.5 мкл – 1000 мкл)</w:t>
      </w:r>
    </w:p>
    <w:p w:rsidR="00000000" w:rsidDel="00000000" w:rsidP="00000000" w:rsidRDefault="00000000" w:rsidRPr="00000000" w14:paraId="00000122">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Наконечники для дозаторів з аерозольним фільтром та маркуванням DNase/RNase-free</w:t>
      </w:r>
    </w:p>
    <w:p w:rsidR="00000000" w:rsidDel="00000000" w:rsidP="00000000" w:rsidRDefault="00000000" w:rsidRPr="00000000" w14:paraId="00000123">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Мікропробірки 1,5 мл з маркуванням DNase/RNase-free </w:t>
      </w:r>
    </w:p>
    <w:p w:rsidR="00000000" w:rsidDel="00000000" w:rsidP="00000000" w:rsidRDefault="00000000" w:rsidRPr="00000000" w14:paraId="00000124">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Вихровий змішувач (вортекс) </w:t>
      </w:r>
    </w:p>
    <w:p w:rsidR="00000000" w:rsidDel="00000000" w:rsidP="00000000" w:rsidRDefault="00000000" w:rsidRPr="00000000" w14:paraId="00000125">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Настільна мікроцентрифуга для ПЛР-планшетів/стрип-пробірок </w:t>
      </w:r>
    </w:p>
    <w:p w:rsidR="00000000" w:rsidDel="00000000" w:rsidP="00000000" w:rsidRDefault="00000000" w:rsidRPr="00000000" w14:paraId="00000126">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Настільна мікроцентрифуга для пробірок об'ємом 1,5-2,0 мл </w:t>
      </w:r>
    </w:p>
    <w:p w:rsidR="00000000" w:rsidDel="00000000" w:rsidP="00000000" w:rsidRDefault="00000000" w:rsidRPr="00000000" w14:paraId="00000127">
      <w:pPr>
        <w:widowControl w:val="1"/>
        <w:numPr>
          <w:ilvl w:val="0"/>
          <w:numId w:val="3"/>
        </w:numPr>
        <w:pBdr>
          <w:top w:space="0" w:sz="0" w:val="nil"/>
          <w:left w:space="0" w:sz="0" w:val="nil"/>
          <w:bottom w:space="0" w:sz="0" w:val="nil"/>
          <w:right w:space="0" w:sz="0" w:val="nil"/>
          <w:between w:space="0" w:sz="0" w:val="nil"/>
        </w:pBdr>
        <w:spacing w:line="240" w:lineRule="auto"/>
        <w:ind w:left="720" w:right="164.17322834645688" w:hanging="360"/>
        <w:jc w:val="both"/>
        <w:rPr>
          <w:sz w:val="18"/>
          <w:szCs w:val="18"/>
          <w:u w:val="none"/>
        </w:rPr>
      </w:pPr>
      <w:r w:rsidDel="00000000" w:rsidR="00000000" w:rsidRPr="00000000">
        <w:rPr>
          <w:sz w:val="18"/>
          <w:szCs w:val="18"/>
          <w:rtl w:val="0"/>
        </w:rPr>
        <w:t xml:space="preserve">Пробірки або планшети для ПЛР у реальному часі.</w:t>
      </w:r>
    </w:p>
    <w:p w:rsidR="00000000" w:rsidDel="00000000" w:rsidP="00000000" w:rsidRDefault="00000000" w:rsidRPr="00000000" w14:paraId="00000128">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29">
      <w:pPr>
        <w:spacing w:line="240" w:lineRule="auto"/>
        <w:ind w:right="164.17322834645688"/>
        <w:jc w:val="both"/>
        <w:rPr>
          <w:b w:val="1"/>
          <w:bCs w:val="1"/>
        </w:rPr>
      </w:pPr>
      <w:r w:rsidDel="00000000" w:rsidR="00000000" w:rsidRPr="00000000">
        <w:rPr>
          <w:b w:val="1"/>
          <w:bCs w:val="1"/>
          <w:rtl w:val="0"/>
        </w:rPr>
        <w:t xml:space="preserve">Підготовка зразків</w:t>
      </w:r>
    </w:p>
    <w:p w:rsidR="00000000" w:rsidDel="00000000" w:rsidP="00000000" w:rsidRDefault="00000000" w:rsidRPr="00000000" w14:paraId="0000012A">
      <w:pPr>
        <w:spacing w:line="240" w:lineRule="auto"/>
        <w:ind w:right="164.17322834645688"/>
        <w:jc w:val="both"/>
        <w:rPr>
          <w:sz w:val="18"/>
          <w:szCs w:val="18"/>
        </w:rPr>
      </w:pPr>
      <w:bookmarkStart w:colFirst="0" w:colLast="0" w:name="_heading=h.fc846r3jfiaq" w:id="3"/>
      <w:bookmarkEnd w:id="3"/>
      <w:r w:rsidDel="00000000" w:rsidR="00000000" w:rsidRPr="00000000">
        <w:rPr>
          <w:sz w:val="18"/>
          <w:szCs w:val="18"/>
          <w:rtl w:val="0"/>
        </w:rPr>
        <w:t xml:space="preserve">Цей набір валідовано для використання зі зразками сечі, урогенітальними або цервікальними мазками. Крім того, з набором можна використовувати всі зразки нуклеїнових кислот, які підходять для аналізів методом qPCR. Клінічні зразки слід розглядати як потенційно інфекційні; під час забору та обробки зразків необхідно дотримуватись запобіжних заходів.</w:t>
      </w:r>
    </w:p>
    <w:p w:rsidR="00000000" w:rsidDel="00000000" w:rsidP="00000000" w:rsidRDefault="00000000" w:rsidRPr="00000000" w14:paraId="0000012B">
      <w:pPr>
        <w:spacing w:line="240" w:lineRule="auto"/>
        <w:ind w:right="164.17322834645688"/>
        <w:jc w:val="both"/>
        <w:rPr>
          <w:sz w:val="18"/>
          <w:szCs w:val="18"/>
        </w:rPr>
      </w:pPr>
      <w:r w:rsidDel="00000000" w:rsidR="00000000" w:rsidRPr="00000000">
        <w:rPr>
          <w:sz w:val="18"/>
          <w:szCs w:val="18"/>
          <w:rtl w:val="0"/>
        </w:rPr>
        <w:t xml:space="preserve">Клініцисти (а також фельдшери, медсестри, лікарі та спеціалісти, пов’язані із медициною) несуть відповідальність за використання правильної процедури під час збору та безпечного транспортування зразків до лабораторії. Достовірність результатів тестування значною мірою залежить від належної практики на преаналітичному етапі, що також передбачає точне і повне документування.</w:t>
      </w:r>
    </w:p>
    <w:p w:rsidR="00000000" w:rsidDel="00000000" w:rsidP="00000000" w:rsidRDefault="00000000" w:rsidRPr="00000000" w14:paraId="0000012C">
      <w:pPr>
        <w:spacing w:line="240" w:lineRule="auto"/>
        <w:ind w:right="164.17322834645688"/>
        <w:jc w:val="both"/>
        <w:rPr>
          <w:sz w:val="18"/>
          <w:szCs w:val="18"/>
        </w:rPr>
      </w:pPr>
      <w:r w:rsidDel="00000000" w:rsidR="00000000" w:rsidRPr="00000000">
        <w:rPr>
          <w:sz w:val="18"/>
          <w:szCs w:val="18"/>
          <w:rtl w:val="0"/>
        </w:rPr>
        <w:t xml:space="preserve">Після збору не зберігайте зразки при кімнатній температурі довше 4 годин. Транспортування зразків повинно відповідати національним або місцевим правилам.</w:t>
      </w:r>
    </w:p>
    <w:p w:rsidR="00000000" w:rsidDel="00000000" w:rsidP="00000000" w:rsidRDefault="00000000" w:rsidRPr="00000000" w14:paraId="0000012D">
      <w:pPr>
        <w:spacing w:line="240" w:lineRule="auto"/>
        <w:ind w:right="164.17322834645688"/>
        <w:jc w:val="both"/>
        <w:rPr>
          <w:sz w:val="18"/>
          <w:szCs w:val="18"/>
        </w:rPr>
      </w:pPr>
      <w:r w:rsidDel="00000000" w:rsidR="00000000" w:rsidRPr="00000000">
        <w:rPr>
          <w:rtl w:val="0"/>
        </w:rPr>
      </w:r>
    </w:p>
    <w:p w:rsidR="00000000" w:rsidDel="00000000" w:rsidP="00000000" w:rsidRDefault="00000000" w:rsidRPr="00000000" w14:paraId="0000012E">
      <w:pPr>
        <w:spacing w:line="240" w:lineRule="auto"/>
        <w:ind w:right="164.17322834645688"/>
        <w:jc w:val="both"/>
        <w:rPr>
          <w:b w:val="1"/>
          <w:bCs w:val="1"/>
        </w:rPr>
      </w:pPr>
      <w:r w:rsidDel="00000000" w:rsidR="00000000" w:rsidRPr="00000000">
        <w:rPr>
          <w:b w:val="1"/>
          <w:bCs w:val="1"/>
          <w:rtl w:val="0"/>
        </w:rPr>
        <w:t xml:space="preserve">Протокол</w:t>
      </w:r>
    </w:p>
    <w:p w:rsidR="00000000" w:rsidDel="00000000" w:rsidP="00000000" w:rsidRDefault="00000000" w:rsidRPr="00000000" w14:paraId="0000012F">
      <w:pPr>
        <w:spacing w:before="113" w:line="240" w:lineRule="auto"/>
        <w:ind w:right="164.17322834645688"/>
        <w:jc w:val="both"/>
        <w:rPr>
          <w:sz w:val="18"/>
          <w:szCs w:val="18"/>
        </w:rPr>
      </w:pPr>
      <w:r w:rsidDel="00000000" w:rsidR="00000000" w:rsidRPr="00000000">
        <w:rPr>
          <w:b w:val="1"/>
          <w:bCs w:val="1"/>
          <w:sz w:val="18"/>
          <w:szCs w:val="18"/>
          <w:rtl w:val="0"/>
        </w:rPr>
        <w:t xml:space="preserve">Виділення ДНК </w:t>
      </w:r>
      <w:r w:rsidDel="00000000" w:rsidR="00000000" w:rsidRPr="00000000">
        <w:rPr>
          <w:sz w:val="18"/>
          <w:szCs w:val="18"/>
          <w:rtl w:val="0"/>
        </w:rPr>
        <w:t xml:space="preserve">Для виділення ДНК збудника із зразків сечі, урогенітальних мазків або мазків з шийки матки слід використовувати набір RevoDx Pathogen DNA/RNA Purification Kit або RevoDx Magnetic Pathogen DNA/RNA Purification Kit, або реагент DirEXT OneStep Pathogen DNA/RNA Extraction Reagent. Використання інших наборів може вплинути на ефективність ПЛР. Будь ласка, дотримуйтесь інструкцій виробника обраного набору для виділення ДНК/РНК. В ідеалі операції повинні проводитися в трьох окремих зонах (для виділення ДНК/РНК, приготування реагентів для ПЛР, ампліфікації), щоб запобігти контамінації.</w:t>
      </w:r>
    </w:p>
    <w:p w:rsidR="00000000" w:rsidDel="00000000" w:rsidP="00000000" w:rsidRDefault="00000000" w:rsidRPr="00000000" w14:paraId="00000130">
      <w:pPr>
        <w:spacing w:line="240" w:lineRule="auto"/>
        <w:ind w:right="164.17322834645688"/>
        <w:jc w:val="both"/>
        <w:rPr>
          <w:sz w:val="18"/>
          <w:szCs w:val="18"/>
        </w:rPr>
      </w:pPr>
      <w:r w:rsidDel="00000000" w:rsidR="00000000" w:rsidRPr="00000000">
        <w:rPr>
          <w:b w:val="1"/>
          <w:bCs w:val="1"/>
          <w:sz w:val="18"/>
          <w:szCs w:val="18"/>
          <w:rtl w:val="0"/>
        </w:rPr>
        <w:t xml:space="preserve">Внутрішній контроль </w:t>
      </w:r>
      <w:r w:rsidDel="00000000" w:rsidR="00000000" w:rsidRPr="00000000">
        <w:rPr>
          <w:sz w:val="18"/>
          <w:szCs w:val="18"/>
          <w:rtl w:val="0"/>
        </w:rPr>
        <w:t xml:space="preserve">Внутрішній контроль (ВК), мішенню якого є РНКаза Р людини, потрібен для підтвердження потрапляння виділеної ДНК у реакційні пробірки. Внутрішній контроль використовується для моніторингу ефективності етапу екстракції ДНК, а також для перевірки будь-якого інгібування ПЛР.</w:t>
      </w:r>
    </w:p>
    <w:p w:rsidR="00000000" w:rsidDel="00000000" w:rsidP="00000000" w:rsidRDefault="00000000" w:rsidRPr="00000000" w14:paraId="00000131">
      <w:pPr>
        <w:spacing w:line="240" w:lineRule="auto"/>
        <w:ind w:right="164.17322834645688"/>
        <w:jc w:val="both"/>
        <w:rPr>
          <w:sz w:val="18"/>
          <w:szCs w:val="18"/>
        </w:rPr>
      </w:pPr>
      <w:r w:rsidDel="00000000" w:rsidR="00000000" w:rsidRPr="00000000">
        <w:rPr>
          <w:b w:val="1"/>
          <w:bCs w:val="1"/>
          <w:sz w:val="18"/>
          <w:szCs w:val="18"/>
          <w:rtl w:val="0"/>
        </w:rPr>
        <w:t xml:space="preserve">Позитивний контроль </w:t>
      </w:r>
      <w:r w:rsidDel="00000000" w:rsidR="00000000" w:rsidRPr="00000000">
        <w:rPr>
          <w:sz w:val="18"/>
          <w:szCs w:val="18"/>
          <w:rtl w:val="0"/>
        </w:rPr>
        <w:t xml:space="preserve">Значення Ct позитивного контролю має дорівнювати 25 ± 4, інші значення вказують на наявність проблем.</w:t>
      </w:r>
    </w:p>
    <w:p w:rsidR="00000000" w:rsidDel="00000000" w:rsidP="00000000" w:rsidRDefault="00000000" w:rsidRPr="00000000" w14:paraId="00000132">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33">
      <w:pPr>
        <w:spacing w:line="240" w:lineRule="auto"/>
        <w:ind w:right="164.17322834645688"/>
        <w:jc w:val="both"/>
        <w:rPr>
          <w:b w:val="1"/>
          <w:bCs w:val="1"/>
          <w:sz w:val="18"/>
          <w:szCs w:val="18"/>
        </w:rPr>
      </w:pPr>
      <w:r w:rsidDel="00000000" w:rsidR="00000000" w:rsidRPr="00000000">
        <w:rPr>
          <w:b w:val="1"/>
          <w:bCs w:val="1"/>
          <w:sz w:val="18"/>
          <w:szCs w:val="18"/>
          <w:rtl w:val="0"/>
        </w:rPr>
        <w:t xml:space="preserve">Протокол ПЛР</w:t>
      </w:r>
    </w:p>
    <w:p w:rsidR="00000000" w:rsidDel="00000000" w:rsidP="00000000" w:rsidRDefault="00000000" w:rsidRPr="00000000" w14:paraId="00000134">
      <w:pPr>
        <w:numPr>
          <w:ilvl w:val="0"/>
          <w:numId w:val="1"/>
        </w:numPr>
        <w:spacing w:after="0" w:afterAutospacing="0" w:before="60" w:line="240" w:lineRule="auto"/>
        <w:ind w:left="720" w:right="164.17322834645688" w:hanging="360"/>
        <w:jc w:val="both"/>
        <w:rPr>
          <w:sz w:val="18"/>
          <w:szCs w:val="18"/>
          <w:u w:val="none"/>
        </w:rPr>
      </w:pPr>
      <w:r w:rsidDel="00000000" w:rsidR="00000000" w:rsidRPr="00000000">
        <w:rPr>
          <w:sz w:val="18"/>
          <w:szCs w:val="18"/>
          <w:rtl w:val="0"/>
        </w:rPr>
        <w:t xml:space="preserve">Розморозьте всі компоненти при кімнатній температурі, крім STI-32 RM 2. Покладіть компонент  STI-32 RM 2 на лід. Ретельно перемішайте кожен компонент, потім осадіть краплі короткочасним центрифугуванням. Перенесіть усі реагенти на лід або охолоджуючий блок.</w:t>
      </w:r>
    </w:p>
    <w:p w:rsidR="00000000" w:rsidDel="00000000" w:rsidP="00000000" w:rsidRDefault="00000000" w:rsidRPr="00000000" w14:paraId="00000135">
      <w:pPr>
        <w:numPr>
          <w:ilvl w:val="0"/>
          <w:numId w:val="1"/>
        </w:numPr>
        <w:spacing w:after="0" w:afterAutospacing="0" w:before="0" w:beforeAutospacing="0" w:line="240" w:lineRule="auto"/>
        <w:ind w:left="720" w:right="164.17322834645688" w:hanging="360"/>
        <w:jc w:val="both"/>
        <w:rPr>
          <w:sz w:val="18"/>
          <w:szCs w:val="18"/>
          <w:u w:val="none"/>
        </w:rPr>
      </w:pPr>
      <w:r w:rsidDel="00000000" w:rsidR="00000000" w:rsidRPr="00000000">
        <w:rPr>
          <w:sz w:val="18"/>
          <w:szCs w:val="18"/>
          <w:rtl w:val="0"/>
        </w:rPr>
        <w:t xml:space="preserve">Кінцевий об’єм реакційної суміші (Master Mix) отримується шляхом множення окремих реакційних об’ємів STI-32 RM 1 та  STI-32 RM 2 на загальну кількість зразків. При цьому враховуються досліджувані клінічні зразки та контрольні зразки. Для уникнення похибок при розкапуванні рекомендується враховувати додатковий зразок при підрахунку загальної кількості зразків.</w:t>
      </w:r>
    </w:p>
    <w:p w:rsidR="00000000" w:rsidDel="00000000" w:rsidP="00000000" w:rsidRDefault="00000000" w:rsidRPr="00000000" w14:paraId="00000136">
      <w:pPr>
        <w:numPr>
          <w:ilvl w:val="0"/>
          <w:numId w:val="1"/>
        </w:numPr>
        <w:spacing w:after="0" w:afterAutospacing="0" w:before="0" w:beforeAutospacing="0" w:line="240" w:lineRule="auto"/>
        <w:ind w:left="720" w:right="164.17322834645688" w:hanging="360"/>
        <w:jc w:val="both"/>
        <w:rPr>
          <w:sz w:val="18"/>
          <w:szCs w:val="18"/>
          <w:u w:val="none"/>
        </w:rPr>
      </w:pPr>
      <w:r w:rsidDel="00000000" w:rsidR="00000000" w:rsidRPr="00000000">
        <w:rPr>
          <w:sz w:val="18"/>
          <w:szCs w:val="18"/>
          <w:rtl w:val="0"/>
        </w:rPr>
        <w:t xml:space="preserve">Для приготування кожної майстер-суміші додайте  14 мкл  STI-32 RM 1 та 1 мкл  STI-32 RM 2 для кожного зразка у підготовлену пробірку. Після приготування майстер-міксу обережно перемішати суміш піпетуванням або на вортексі та осадити краплі короткочасним центрифугуванням. Внести по 15 мкл приготованої суміші у пробірки/планшет для ПЛР. Після внесення майстер-міксу у лунки додайте по 5 мкл екстрагованої ДНК, позитивного контролю, негативного контролю у відповідні пробірки. Закрити кришки чи заклеїти планшет та осадити краплі центрифугуванням.</w:t>
      </w:r>
    </w:p>
    <w:p w:rsidR="00000000" w:rsidDel="00000000" w:rsidP="00000000" w:rsidRDefault="00000000" w:rsidRPr="00000000" w14:paraId="00000137">
      <w:pPr>
        <w:numPr>
          <w:ilvl w:val="0"/>
          <w:numId w:val="1"/>
        </w:numPr>
        <w:spacing w:before="0" w:beforeAutospacing="0" w:line="240" w:lineRule="auto"/>
        <w:ind w:left="720" w:right="164.17322834645688" w:hanging="360"/>
        <w:jc w:val="both"/>
        <w:rPr>
          <w:sz w:val="18"/>
          <w:szCs w:val="18"/>
          <w:u w:val="none"/>
        </w:rPr>
      </w:pPr>
      <w:r w:rsidDel="00000000" w:rsidR="00000000" w:rsidRPr="00000000">
        <w:rPr>
          <w:sz w:val="18"/>
          <w:szCs w:val="18"/>
          <w:rtl w:val="0"/>
        </w:rPr>
        <w:t xml:space="preserve">Запрограмуйте прилад для ампліфікації згідно протоколу, наведеного у таблиці 3. Вказати об’єм зразка 20 мкл.</w:t>
      </w:r>
    </w:p>
    <w:p w:rsidR="00000000" w:rsidDel="00000000" w:rsidP="00000000" w:rsidRDefault="00000000" w:rsidRPr="00000000" w14:paraId="00000138">
      <w:pPr>
        <w:spacing w:line="240" w:lineRule="auto"/>
        <w:ind w:right="164.17322834645688"/>
        <w:jc w:val="both"/>
        <w:rPr>
          <w:sz w:val="18"/>
          <w:szCs w:val="18"/>
        </w:rPr>
      </w:pPr>
      <w:r w:rsidDel="00000000" w:rsidR="00000000" w:rsidRPr="00000000">
        <w:rPr>
          <w:rtl w:val="0"/>
        </w:rPr>
      </w:r>
    </w:p>
    <w:p w:rsidR="00000000" w:rsidDel="00000000" w:rsidP="00000000" w:rsidRDefault="00000000" w:rsidRPr="00000000" w14:paraId="00000139">
      <w:pPr>
        <w:spacing w:line="240" w:lineRule="auto"/>
        <w:ind w:right="164.17322834645688"/>
        <w:jc w:val="both"/>
        <w:rPr>
          <w:b w:val="1"/>
          <w:bCs w:val="1"/>
          <w:sz w:val="18"/>
          <w:szCs w:val="18"/>
        </w:rPr>
      </w:pPr>
      <w:bookmarkStart w:colFirst="0" w:colLast="0" w:name="_heading=h.w9q51hsqhsmw" w:id="4"/>
      <w:bookmarkEnd w:id="4"/>
      <w:r w:rsidDel="00000000" w:rsidR="00000000" w:rsidRPr="00000000">
        <w:rPr>
          <w:b w:val="1"/>
          <w:bCs w:val="1"/>
          <w:sz w:val="18"/>
          <w:szCs w:val="18"/>
          <w:rtl w:val="0"/>
        </w:rPr>
        <w:t xml:space="preserve">Таблиця 3:</w:t>
      </w:r>
      <w:r w:rsidDel="00000000" w:rsidR="00000000" w:rsidRPr="00000000">
        <w:rPr>
          <w:sz w:val="18"/>
          <w:szCs w:val="18"/>
          <w:rtl w:val="0"/>
        </w:rPr>
        <w:t xml:space="preserve"> Програма ампліфікації</w:t>
      </w:r>
      <w:r w:rsidDel="00000000" w:rsidR="00000000" w:rsidRPr="00000000">
        <w:rPr>
          <w:rtl w:val="0"/>
        </w:rPr>
      </w:r>
    </w:p>
    <w:tbl>
      <w:tblPr>
        <w:tblStyle w:val="Table4"/>
        <w:tblW w:w="52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1275"/>
        <w:gridCol w:w="1140"/>
        <w:gridCol w:w="1110"/>
        <w:tblGridChange w:id="0">
          <w:tblGrid>
            <w:gridCol w:w="1695"/>
            <w:gridCol w:w="1275"/>
            <w:gridCol w:w="1140"/>
            <w:gridCol w:w="1110"/>
          </w:tblGrid>
        </w:tblGridChange>
      </w:tblGrid>
      <w:tr>
        <w:trPr>
          <w:cantSplit w:val="0"/>
          <w:trHeight w:val="730.6896551724128"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3A">
            <w:pPr>
              <w:spacing w:line="240" w:lineRule="auto"/>
              <w:ind w:right="164.17322834645688"/>
              <w:jc w:val="center"/>
              <w:rPr>
                <w:b w:val="1"/>
                <w:bCs w:val="1"/>
                <w:sz w:val="18"/>
                <w:szCs w:val="18"/>
              </w:rPr>
            </w:pPr>
            <w:r w:rsidDel="00000000" w:rsidR="00000000" w:rsidRPr="00000000">
              <w:rPr>
                <w:b w:val="1"/>
                <w:bCs w:val="1"/>
                <w:sz w:val="18"/>
                <w:szCs w:val="18"/>
                <w:rtl w:val="0"/>
              </w:rPr>
              <w:t xml:space="preserve">Назва етапу</w:t>
            </w:r>
          </w:p>
        </w:tc>
        <w:tc>
          <w:tcPr>
            <w:shd w:fill="auto" w:val="clear"/>
            <w:tcMar>
              <w:top w:w="0.0" w:type="dxa"/>
              <w:left w:w="108.0" w:type="dxa"/>
              <w:bottom w:w="0.0" w:type="dxa"/>
              <w:right w:w="108.0" w:type="dxa"/>
            </w:tcMar>
            <w:vAlign w:val="center"/>
          </w:tcPr>
          <w:p w:rsidR="00000000" w:rsidDel="00000000" w:rsidP="00000000" w:rsidRDefault="00000000" w:rsidRPr="00000000" w14:paraId="0000013B">
            <w:pPr>
              <w:spacing w:line="240" w:lineRule="auto"/>
              <w:ind w:right="164.17322834645688"/>
              <w:jc w:val="center"/>
              <w:rPr>
                <w:b w:val="1"/>
                <w:bCs w:val="1"/>
                <w:sz w:val="18"/>
                <w:szCs w:val="18"/>
              </w:rPr>
            </w:pPr>
            <w:r w:rsidDel="00000000" w:rsidR="00000000" w:rsidRPr="00000000">
              <w:rPr>
                <w:b w:val="1"/>
                <w:bCs w:val="1"/>
                <w:sz w:val="18"/>
                <w:szCs w:val="18"/>
                <w:rtl w:val="0"/>
              </w:rPr>
              <w:t xml:space="preserve">Кількість циклів</w:t>
            </w:r>
          </w:p>
        </w:tc>
        <w:tc>
          <w:tcPr>
            <w:shd w:fill="auto" w:val="clear"/>
            <w:tcMar>
              <w:top w:w="0.0" w:type="dxa"/>
              <w:left w:w="108.0" w:type="dxa"/>
              <w:bottom w:w="0.0" w:type="dxa"/>
              <w:right w:w="108.0" w:type="dxa"/>
            </w:tcMar>
            <w:vAlign w:val="center"/>
          </w:tcPr>
          <w:p w:rsidR="00000000" w:rsidDel="00000000" w:rsidP="00000000" w:rsidRDefault="00000000" w:rsidRPr="00000000" w14:paraId="0000013C">
            <w:pPr>
              <w:spacing w:line="240" w:lineRule="auto"/>
              <w:ind w:right="164.17322834645688"/>
              <w:jc w:val="center"/>
              <w:rPr>
                <w:b w:val="1"/>
                <w:bCs w:val="1"/>
                <w:sz w:val="18"/>
                <w:szCs w:val="18"/>
              </w:rPr>
            </w:pPr>
            <w:r w:rsidDel="00000000" w:rsidR="00000000" w:rsidRPr="00000000">
              <w:rPr>
                <w:b w:val="1"/>
                <w:bCs w:val="1"/>
                <w:sz w:val="18"/>
                <w:szCs w:val="18"/>
                <w:rtl w:val="0"/>
              </w:rPr>
              <w:t xml:space="preserve">Температура</w:t>
            </w:r>
          </w:p>
        </w:tc>
        <w:tc>
          <w:tcPr>
            <w:shd w:fill="auto" w:val="clear"/>
            <w:tcMar>
              <w:top w:w="0.0" w:type="dxa"/>
              <w:left w:w="108.0" w:type="dxa"/>
              <w:bottom w:w="0.0" w:type="dxa"/>
              <w:right w:w="108.0" w:type="dxa"/>
            </w:tcMar>
            <w:vAlign w:val="center"/>
          </w:tcPr>
          <w:p w:rsidR="00000000" w:rsidDel="00000000" w:rsidP="00000000" w:rsidRDefault="00000000" w:rsidRPr="00000000" w14:paraId="0000013D">
            <w:pPr>
              <w:spacing w:line="240" w:lineRule="auto"/>
              <w:ind w:right="164.17322834645688"/>
              <w:jc w:val="center"/>
              <w:rPr>
                <w:b w:val="1"/>
                <w:bCs w:val="1"/>
                <w:sz w:val="18"/>
                <w:szCs w:val="18"/>
              </w:rPr>
            </w:pPr>
            <w:r w:rsidDel="00000000" w:rsidR="00000000" w:rsidRPr="00000000">
              <w:rPr>
                <w:b w:val="1"/>
                <w:bCs w:val="1"/>
                <w:sz w:val="18"/>
                <w:szCs w:val="18"/>
                <w:rtl w:val="0"/>
              </w:rPr>
              <w:t xml:space="preserve">Час</w:t>
            </w:r>
          </w:p>
        </w:tc>
      </w:tr>
      <w:tr>
        <w:trPr>
          <w:cantSplit w:val="0"/>
          <w:trHeight w:val="730.6896551724128"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3E">
            <w:pPr>
              <w:spacing w:line="240" w:lineRule="auto"/>
              <w:ind w:right="164.17322834645688"/>
              <w:rPr>
                <w:sz w:val="18"/>
                <w:szCs w:val="18"/>
              </w:rPr>
            </w:pPr>
            <w:r w:rsidDel="00000000" w:rsidR="00000000" w:rsidRPr="00000000">
              <w:rPr>
                <w:sz w:val="18"/>
                <w:szCs w:val="18"/>
                <w:rtl w:val="0"/>
              </w:rPr>
              <w:t xml:space="preserve">Активація полімерази</w:t>
            </w:r>
          </w:p>
        </w:tc>
        <w:tc>
          <w:tcPr>
            <w:shd w:fill="auto" w:val="clear"/>
            <w:tcMar>
              <w:top w:w="0.0" w:type="dxa"/>
              <w:left w:w="108.0" w:type="dxa"/>
              <w:bottom w:w="0.0" w:type="dxa"/>
              <w:right w:w="108.0" w:type="dxa"/>
            </w:tcMar>
            <w:vAlign w:val="center"/>
          </w:tcPr>
          <w:p w:rsidR="00000000" w:rsidDel="00000000" w:rsidP="00000000" w:rsidRDefault="00000000" w:rsidRPr="00000000" w14:paraId="0000013F">
            <w:pPr>
              <w:spacing w:line="240" w:lineRule="auto"/>
              <w:ind w:right="164.17322834645688"/>
              <w:jc w:val="center"/>
              <w:rPr>
                <w:sz w:val="18"/>
                <w:szCs w:val="18"/>
              </w:rPr>
            </w:pPr>
            <w:r w:rsidDel="00000000" w:rsidR="00000000" w:rsidRPr="00000000">
              <w:rPr>
                <w:sz w:val="18"/>
                <w:szCs w:val="18"/>
                <w:rtl w:val="0"/>
              </w:rPr>
              <w:t xml:space="preserve">1</w:t>
            </w:r>
          </w:p>
        </w:tc>
        <w:tc>
          <w:tcPr>
            <w:shd w:fill="auto" w:val="clear"/>
            <w:tcMar>
              <w:top w:w="0.0" w:type="dxa"/>
              <w:left w:w="108.0" w:type="dxa"/>
              <w:bottom w:w="0.0" w:type="dxa"/>
              <w:right w:w="108.0" w:type="dxa"/>
            </w:tcMar>
            <w:vAlign w:val="center"/>
          </w:tcPr>
          <w:p w:rsidR="00000000" w:rsidDel="00000000" w:rsidP="00000000" w:rsidRDefault="00000000" w:rsidRPr="00000000" w14:paraId="00000140">
            <w:pPr>
              <w:spacing w:line="240" w:lineRule="auto"/>
              <w:ind w:right="164.17322834645688"/>
              <w:jc w:val="center"/>
              <w:rPr>
                <w:sz w:val="18"/>
                <w:szCs w:val="18"/>
              </w:rPr>
            </w:pPr>
            <w:r w:rsidDel="00000000" w:rsidR="00000000" w:rsidRPr="00000000">
              <w:rPr>
                <w:sz w:val="18"/>
                <w:szCs w:val="18"/>
                <w:rtl w:val="0"/>
              </w:rPr>
              <w:t xml:space="preserve">95ºC</w:t>
            </w:r>
          </w:p>
        </w:tc>
        <w:tc>
          <w:tcPr>
            <w:shd w:fill="auto" w:val="clear"/>
            <w:tcMar>
              <w:top w:w="0.0" w:type="dxa"/>
              <w:left w:w="108.0" w:type="dxa"/>
              <w:bottom w:w="0.0" w:type="dxa"/>
              <w:right w:w="108.0" w:type="dxa"/>
            </w:tcMar>
            <w:vAlign w:val="center"/>
          </w:tcPr>
          <w:p w:rsidR="00000000" w:rsidDel="00000000" w:rsidP="00000000" w:rsidRDefault="00000000" w:rsidRPr="00000000" w14:paraId="00000141">
            <w:pPr>
              <w:spacing w:line="240" w:lineRule="auto"/>
              <w:ind w:right="164.17322834645688"/>
              <w:jc w:val="center"/>
              <w:rPr>
                <w:sz w:val="18"/>
                <w:szCs w:val="18"/>
              </w:rPr>
            </w:pPr>
            <w:r w:rsidDel="00000000" w:rsidR="00000000" w:rsidRPr="00000000">
              <w:rPr>
                <w:sz w:val="18"/>
                <w:szCs w:val="18"/>
                <w:rtl w:val="0"/>
              </w:rPr>
              <w:t xml:space="preserve">2 хв</w:t>
            </w:r>
          </w:p>
        </w:tc>
      </w:tr>
      <w:tr>
        <w:trPr>
          <w:cantSplit w:val="0"/>
          <w:trHeight w:val="355.9770114942524" w:hRule="atLeast"/>
          <w:tblHeader w:val="0"/>
        </w:trPr>
        <w:tc>
          <w:tcPr>
            <w:vMerge w:val="restart"/>
            <w:shd w:fill="auto" w:val="clear"/>
            <w:tcMar>
              <w:top w:w="0.0" w:type="dxa"/>
              <w:left w:w="108.0" w:type="dxa"/>
              <w:bottom w:w="0.0" w:type="dxa"/>
              <w:right w:w="108.0" w:type="dxa"/>
            </w:tcMar>
            <w:vAlign w:val="center"/>
          </w:tcPr>
          <w:p w:rsidR="00000000" w:rsidDel="00000000" w:rsidP="00000000" w:rsidRDefault="00000000" w:rsidRPr="00000000" w14:paraId="00000142">
            <w:pPr>
              <w:spacing w:line="240" w:lineRule="auto"/>
              <w:ind w:right="164.17322834645688"/>
              <w:rPr>
                <w:sz w:val="18"/>
                <w:szCs w:val="18"/>
              </w:rPr>
            </w:pPr>
            <w:r w:rsidDel="00000000" w:rsidR="00000000" w:rsidRPr="00000000">
              <w:rPr>
                <w:sz w:val="18"/>
                <w:szCs w:val="18"/>
                <w:rtl w:val="0"/>
              </w:rPr>
              <w:t xml:space="preserve">Ампліфікація*</w:t>
            </w:r>
          </w:p>
        </w:tc>
        <w:tc>
          <w:tcPr>
            <w:vMerge w:val="restart"/>
            <w:shd w:fill="auto" w:val="clear"/>
            <w:tcMar>
              <w:top w:w="0.0" w:type="dxa"/>
              <w:left w:w="108.0" w:type="dxa"/>
              <w:bottom w:w="0.0" w:type="dxa"/>
              <w:right w:w="108.0" w:type="dxa"/>
            </w:tcMar>
            <w:vAlign w:val="center"/>
          </w:tcPr>
          <w:p w:rsidR="00000000" w:rsidDel="00000000" w:rsidP="00000000" w:rsidRDefault="00000000" w:rsidRPr="00000000" w14:paraId="00000143">
            <w:pPr>
              <w:spacing w:line="240" w:lineRule="auto"/>
              <w:ind w:right="164.17322834645688"/>
              <w:jc w:val="center"/>
              <w:rPr>
                <w:sz w:val="18"/>
                <w:szCs w:val="18"/>
              </w:rPr>
            </w:pPr>
            <w:r w:rsidDel="00000000" w:rsidR="00000000" w:rsidRPr="00000000">
              <w:rPr>
                <w:sz w:val="18"/>
                <w:szCs w:val="18"/>
                <w:rtl w:val="0"/>
              </w:rPr>
              <w:t xml:space="preserve">40</w:t>
            </w:r>
          </w:p>
        </w:tc>
        <w:tc>
          <w:tcPr>
            <w:shd w:fill="auto" w:val="clear"/>
            <w:tcMar>
              <w:top w:w="0.0" w:type="dxa"/>
              <w:left w:w="108.0" w:type="dxa"/>
              <w:bottom w:w="0.0" w:type="dxa"/>
              <w:right w:w="108.0" w:type="dxa"/>
            </w:tcMar>
            <w:vAlign w:val="center"/>
          </w:tcPr>
          <w:p w:rsidR="00000000" w:rsidDel="00000000" w:rsidP="00000000" w:rsidRDefault="00000000" w:rsidRPr="00000000" w14:paraId="00000144">
            <w:pPr>
              <w:spacing w:line="240" w:lineRule="auto"/>
              <w:ind w:right="164.17322834645688"/>
              <w:jc w:val="center"/>
              <w:rPr>
                <w:sz w:val="18"/>
                <w:szCs w:val="18"/>
              </w:rPr>
            </w:pPr>
            <w:r w:rsidDel="00000000" w:rsidR="00000000" w:rsidRPr="00000000">
              <w:rPr>
                <w:sz w:val="18"/>
                <w:szCs w:val="18"/>
                <w:rtl w:val="0"/>
              </w:rPr>
              <w:t xml:space="preserve">95ºC</w:t>
            </w:r>
          </w:p>
        </w:tc>
        <w:tc>
          <w:tcPr>
            <w:shd w:fill="auto" w:val="clear"/>
            <w:tcMar>
              <w:top w:w="0.0" w:type="dxa"/>
              <w:left w:w="108.0" w:type="dxa"/>
              <w:bottom w:w="0.0" w:type="dxa"/>
              <w:right w:w="108.0" w:type="dxa"/>
            </w:tcMar>
            <w:vAlign w:val="center"/>
          </w:tcPr>
          <w:p w:rsidR="00000000" w:rsidDel="00000000" w:rsidP="00000000" w:rsidRDefault="00000000" w:rsidRPr="00000000" w14:paraId="00000145">
            <w:pPr>
              <w:spacing w:line="240" w:lineRule="auto"/>
              <w:ind w:right="164.17322834645688"/>
              <w:jc w:val="center"/>
              <w:rPr>
                <w:sz w:val="18"/>
                <w:szCs w:val="18"/>
              </w:rPr>
            </w:pPr>
            <w:r w:rsidDel="00000000" w:rsidR="00000000" w:rsidRPr="00000000">
              <w:rPr>
                <w:sz w:val="18"/>
                <w:szCs w:val="18"/>
                <w:rtl w:val="0"/>
              </w:rPr>
              <w:t xml:space="preserve">10 сек</w:t>
            </w:r>
          </w:p>
        </w:tc>
      </w:tr>
      <w:tr>
        <w:trPr>
          <w:cantSplit w:val="0"/>
          <w:trHeight w:val="355.9770114942524" w:hRule="atLeast"/>
          <w:tblHeader w:val="0"/>
        </w:trPr>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17322834645688" w:firstLine="0"/>
              <w:jc w:val="left"/>
              <w:rPr>
                <w:sz w:val="18"/>
                <w:szCs w:val="18"/>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17322834645688" w:firstLine="0"/>
              <w:jc w:val="left"/>
              <w:rPr>
                <w:sz w:val="18"/>
                <w:szCs w:val="18"/>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48">
            <w:pPr>
              <w:spacing w:line="240" w:lineRule="auto"/>
              <w:ind w:right="164.17322834645688"/>
              <w:jc w:val="center"/>
              <w:rPr>
                <w:sz w:val="18"/>
                <w:szCs w:val="18"/>
              </w:rPr>
            </w:pPr>
            <w:r w:rsidDel="00000000" w:rsidR="00000000" w:rsidRPr="00000000">
              <w:rPr>
                <w:sz w:val="18"/>
                <w:szCs w:val="18"/>
                <w:rtl w:val="0"/>
              </w:rPr>
              <w:t xml:space="preserve">60ºC</w:t>
            </w:r>
          </w:p>
        </w:tc>
        <w:tc>
          <w:tcPr>
            <w:shd w:fill="auto" w:val="clear"/>
            <w:tcMar>
              <w:top w:w="0.0" w:type="dxa"/>
              <w:left w:w="108.0" w:type="dxa"/>
              <w:bottom w:w="0.0" w:type="dxa"/>
              <w:right w:w="108.0" w:type="dxa"/>
            </w:tcMar>
            <w:vAlign w:val="center"/>
          </w:tcPr>
          <w:p w:rsidR="00000000" w:rsidDel="00000000" w:rsidP="00000000" w:rsidRDefault="00000000" w:rsidRPr="00000000" w14:paraId="00000149">
            <w:pPr>
              <w:spacing w:line="240" w:lineRule="auto"/>
              <w:ind w:right="164.17322834645688"/>
              <w:jc w:val="center"/>
              <w:rPr>
                <w:sz w:val="18"/>
                <w:szCs w:val="18"/>
              </w:rPr>
            </w:pPr>
            <w:r w:rsidDel="00000000" w:rsidR="00000000" w:rsidRPr="00000000">
              <w:rPr>
                <w:sz w:val="18"/>
                <w:szCs w:val="18"/>
                <w:rtl w:val="0"/>
              </w:rPr>
              <w:t xml:space="preserve">20 сек</w:t>
            </w:r>
          </w:p>
        </w:tc>
      </w:tr>
    </w:tbl>
    <w:p w:rsidR="00000000" w:rsidDel="00000000" w:rsidP="00000000" w:rsidRDefault="00000000" w:rsidRPr="00000000" w14:paraId="0000014A">
      <w:pPr>
        <w:spacing w:line="240" w:lineRule="auto"/>
        <w:ind w:right="164.17322834645688"/>
        <w:rPr>
          <w:b w:val="1"/>
          <w:bCs w:val="1"/>
          <w:sz w:val="18"/>
          <w:szCs w:val="18"/>
        </w:rPr>
      </w:pPr>
      <w:r w:rsidDel="00000000" w:rsidR="00000000" w:rsidRPr="00000000">
        <w:rPr>
          <w:b w:val="1"/>
          <w:bCs w:val="1"/>
          <w:sz w:val="18"/>
          <w:szCs w:val="18"/>
          <w:rtl w:val="0"/>
        </w:rPr>
        <w:t xml:space="preserve">* Детекція флуоресценції при 60°C за каналами FAM, HEX, ROX та  Cy5 </w:t>
      </w:r>
    </w:p>
    <w:p w:rsidR="00000000" w:rsidDel="00000000" w:rsidP="00000000" w:rsidRDefault="00000000" w:rsidRPr="00000000" w14:paraId="0000014B">
      <w:pPr>
        <w:spacing w:line="240" w:lineRule="auto"/>
        <w:ind w:right="164.17322834645688"/>
        <w:rPr>
          <w:b w:val="1"/>
          <w:bCs w:val="1"/>
          <w:sz w:val="18"/>
          <w:szCs w:val="18"/>
        </w:rPr>
      </w:pPr>
      <w:r w:rsidDel="00000000" w:rsidR="00000000" w:rsidRPr="00000000">
        <w:rPr>
          <w:rtl w:val="0"/>
        </w:rPr>
      </w:r>
    </w:p>
    <w:p w:rsidR="00000000" w:rsidDel="00000000" w:rsidP="00000000" w:rsidRDefault="00000000" w:rsidRPr="00000000" w14:paraId="0000014C">
      <w:pPr>
        <w:numPr>
          <w:ilvl w:val="0"/>
          <w:numId w:val="1"/>
        </w:numPr>
        <w:spacing w:after="0" w:afterAutospacing="0" w:before="60" w:line="240" w:lineRule="auto"/>
        <w:ind w:left="720" w:right="164.17322834645688" w:hanging="360"/>
        <w:jc w:val="both"/>
        <w:rPr>
          <w:sz w:val="18"/>
          <w:szCs w:val="18"/>
          <w:u w:val="none"/>
        </w:rPr>
      </w:pPr>
      <w:r w:rsidDel="00000000" w:rsidR="00000000" w:rsidRPr="00000000">
        <w:rPr>
          <w:sz w:val="18"/>
          <w:szCs w:val="18"/>
          <w:rtl w:val="0"/>
        </w:rPr>
        <w:t xml:space="preserve">Обрати вимірювання рівня флуоресценції при 60°C за каналами FAM, HEX, ROX і Cy5.</w:t>
      </w:r>
    </w:p>
    <w:p w:rsidR="00000000" w:rsidDel="00000000" w:rsidP="00000000" w:rsidRDefault="00000000" w:rsidRPr="00000000" w14:paraId="0000014D">
      <w:pPr>
        <w:numPr>
          <w:ilvl w:val="0"/>
          <w:numId w:val="1"/>
        </w:numPr>
        <w:spacing w:after="0" w:afterAutospacing="0" w:before="0" w:beforeAutospacing="0" w:line="240" w:lineRule="auto"/>
        <w:ind w:left="720" w:right="164.17322834645688" w:hanging="360"/>
        <w:jc w:val="both"/>
        <w:rPr>
          <w:sz w:val="18"/>
          <w:szCs w:val="18"/>
          <w:u w:val="none"/>
        </w:rPr>
      </w:pPr>
      <w:r w:rsidDel="00000000" w:rsidR="00000000" w:rsidRPr="00000000">
        <w:rPr>
          <w:b w:val="1"/>
          <w:bCs w:val="1"/>
          <w:sz w:val="18"/>
          <w:szCs w:val="18"/>
          <w:rtl w:val="0"/>
        </w:rPr>
        <w:t xml:space="preserve"> </w:t>
      </w:r>
      <w:r w:rsidDel="00000000" w:rsidR="00000000" w:rsidRPr="00000000">
        <w:rPr>
          <w:sz w:val="18"/>
          <w:szCs w:val="18"/>
          <w:rtl w:val="0"/>
        </w:rPr>
        <w:t xml:space="preserve">Запустити програму.</w:t>
      </w:r>
    </w:p>
    <w:p w:rsidR="00000000" w:rsidDel="00000000" w:rsidP="00000000" w:rsidRDefault="00000000" w:rsidRPr="00000000" w14:paraId="0000014E">
      <w:pPr>
        <w:numPr>
          <w:ilvl w:val="0"/>
          <w:numId w:val="1"/>
        </w:numPr>
        <w:spacing w:before="0" w:beforeAutospacing="0" w:line="240" w:lineRule="auto"/>
        <w:ind w:left="720" w:right="164.17322834645688" w:hanging="360"/>
        <w:jc w:val="both"/>
        <w:rPr>
          <w:sz w:val="18"/>
          <w:szCs w:val="18"/>
          <w:u w:val="none"/>
        </w:rPr>
      </w:pPr>
      <w:r w:rsidDel="00000000" w:rsidR="00000000" w:rsidRPr="00000000">
        <w:rPr>
          <w:sz w:val="18"/>
          <w:szCs w:val="18"/>
          <w:rtl w:val="0"/>
        </w:rPr>
        <w:t xml:space="preserve">Програмування приладу та аналіз результатів здійснювати відповідно до інструкції виробника.</w:t>
      </w:r>
    </w:p>
    <w:p w:rsidR="00000000" w:rsidDel="00000000" w:rsidP="00000000" w:rsidRDefault="00000000" w:rsidRPr="00000000" w14:paraId="0000014F">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50">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51">
      <w:pP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52">
      <w:pPr>
        <w:spacing w:line="240" w:lineRule="auto"/>
        <w:ind w:right="164.17322834645688"/>
        <w:jc w:val="both"/>
        <w:rPr>
          <w:b w:val="1"/>
          <w:bCs w:val="1"/>
        </w:rPr>
      </w:pPr>
      <w:r w:rsidDel="00000000" w:rsidR="00000000" w:rsidRPr="00000000">
        <w:rPr>
          <w:rtl w:val="0"/>
        </w:rPr>
      </w:r>
    </w:p>
    <w:p w:rsidR="00000000" w:rsidDel="00000000" w:rsidP="00000000" w:rsidRDefault="00000000" w:rsidRPr="00000000" w14:paraId="00000153">
      <w:pPr>
        <w:spacing w:line="240" w:lineRule="auto"/>
        <w:ind w:right="164.17322834645688"/>
        <w:jc w:val="both"/>
        <w:rPr>
          <w:b w:val="1"/>
          <w:bCs w:val="1"/>
        </w:rPr>
      </w:pPr>
      <w:r w:rsidDel="00000000" w:rsidR="00000000" w:rsidRPr="00000000">
        <w:rPr>
          <w:rtl w:val="0"/>
        </w:rPr>
      </w:r>
    </w:p>
    <w:p w:rsidR="00000000" w:rsidDel="00000000" w:rsidP="00000000" w:rsidRDefault="00000000" w:rsidRPr="00000000" w14:paraId="00000154">
      <w:pPr>
        <w:spacing w:line="240" w:lineRule="auto"/>
        <w:ind w:right="164.17322834645688"/>
        <w:jc w:val="both"/>
        <w:rPr>
          <w:b w:val="1"/>
          <w:bCs w:val="1"/>
        </w:rPr>
      </w:pPr>
      <w:r w:rsidDel="00000000" w:rsidR="00000000" w:rsidRPr="00000000">
        <w:rPr>
          <w:rtl w:val="0"/>
        </w:rPr>
      </w:r>
    </w:p>
    <w:p w:rsidR="00000000" w:rsidDel="00000000" w:rsidP="00000000" w:rsidRDefault="00000000" w:rsidRPr="00000000" w14:paraId="00000155">
      <w:pPr>
        <w:spacing w:line="240" w:lineRule="auto"/>
        <w:ind w:right="164.17322834645688"/>
        <w:jc w:val="both"/>
        <w:rPr>
          <w:b w:val="1"/>
          <w:bCs w:val="1"/>
        </w:rPr>
      </w:pPr>
      <w:r w:rsidDel="00000000" w:rsidR="00000000" w:rsidRPr="00000000">
        <w:rPr>
          <w:rtl w:val="0"/>
        </w:rPr>
      </w:r>
    </w:p>
    <w:p w:rsidR="00000000" w:rsidDel="00000000" w:rsidP="00000000" w:rsidRDefault="00000000" w:rsidRPr="00000000" w14:paraId="00000156">
      <w:pPr>
        <w:spacing w:line="240" w:lineRule="auto"/>
        <w:ind w:right="164.17322834645688"/>
        <w:jc w:val="both"/>
        <w:rPr>
          <w:b w:val="1"/>
          <w:bCs w:val="1"/>
        </w:rPr>
      </w:pPr>
      <w:r w:rsidDel="00000000" w:rsidR="00000000" w:rsidRPr="00000000">
        <w:rPr>
          <w:b w:val="1"/>
          <w:bCs w:val="1"/>
          <w:rtl w:val="0"/>
        </w:rPr>
        <w:t xml:space="preserve">Аналіз даних</w:t>
      </w:r>
    </w:p>
    <w:p w:rsidR="00000000" w:rsidDel="00000000" w:rsidP="00000000" w:rsidRDefault="00000000" w:rsidRPr="00000000" w14:paraId="00000157">
      <w:pPr>
        <w:spacing w:line="240" w:lineRule="auto"/>
        <w:ind w:right="164.17322834645688"/>
        <w:jc w:val="both"/>
        <w:rPr>
          <w:sz w:val="18"/>
          <w:szCs w:val="18"/>
        </w:rPr>
      </w:pPr>
      <w:r w:rsidDel="00000000" w:rsidR="00000000" w:rsidRPr="00000000">
        <w:rPr>
          <w:sz w:val="18"/>
          <w:szCs w:val="18"/>
          <w:rtl w:val="0"/>
        </w:rPr>
        <w:t xml:space="preserve">Значення Ct для позитивного контролю повинно дорівнювати 25±4, а негативний контроль у всіх каналах повинен бути негативним. В іншому випадку експеримент слід повторити.</w:t>
      </w:r>
    </w:p>
    <w:p w:rsidR="00000000" w:rsidDel="00000000" w:rsidP="00000000" w:rsidRDefault="00000000" w:rsidRPr="00000000" w14:paraId="00000158">
      <w:pPr>
        <w:spacing w:line="240" w:lineRule="auto"/>
        <w:ind w:right="164.17322834645688"/>
        <w:jc w:val="both"/>
        <w:rPr>
          <w:sz w:val="18"/>
          <w:szCs w:val="18"/>
        </w:rPr>
      </w:pPr>
      <w:r w:rsidDel="00000000" w:rsidR="00000000" w:rsidRPr="00000000">
        <w:rPr>
          <w:rtl w:val="0"/>
        </w:rPr>
      </w:r>
    </w:p>
    <w:p w:rsidR="00000000" w:rsidDel="00000000" w:rsidP="00000000" w:rsidRDefault="00000000" w:rsidRPr="00000000" w14:paraId="00000159">
      <w:pPr>
        <w:spacing w:line="240" w:lineRule="auto"/>
        <w:ind w:right="164.17322834645688"/>
        <w:jc w:val="both"/>
        <w:rPr>
          <w:sz w:val="18"/>
          <w:szCs w:val="18"/>
        </w:rPr>
      </w:pPr>
      <w:r w:rsidDel="00000000" w:rsidR="00000000" w:rsidRPr="00000000">
        <w:rPr>
          <w:sz w:val="18"/>
          <w:szCs w:val="18"/>
          <w:rtl w:val="0"/>
        </w:rPr>
        <w:t xml:space="preserve">Результати інтерпретувати наступним чином:</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rtl w:val="0"/>
        </w:rPr>
      </w:r>
    </w:p>
    <w:tbl>
      <w:tblPr>
        <w:tblStyle w:val="Table5"/>
        <w:tblW w:w="5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1050"/>
        <w:gridCol w:w="915"/>
        <w:gridCol w:w="930"/>
        <w:gridCol w:w="1530"/>
        <w:tblGridChange w:id="0">
          <w:tblGrid>
            <w:gridCol w:w="1035"/>
            <w:gridCol w:w="1050"/>
            <w:gridCol w:w="915"/>
            <w:gridCol w:w="930"/>
            <w:gridCol w:w="1530"/>
          </w:tblGrid>
        </w:tblGridChange>
      </w:tblGrid>
      <w:tr>
        <w:trPr>
          <w:cantSplit w:val="0"/>
          <w:tblHeader w:val="0"/>
        </w:trPr>
        <w:tc>
          <w:tcPr>
            <w:shd w:fill="7f7f7f" w:val="clear"/>
            <w:vAlign w:val="center"/>
          </w:tcPr>
          <w:p w:rsidR="00000000" w:rsidDel="00000000" w:rsidP="00000000" w:rsidRDefault="00000000" w:rsidRPr="00000000" w14:paraId="0000015B">
            <w:pPr>
              <w:spacing w:line="240" w:lineRule="auto"/>
              <w:ind w:right="164.17322834645688"/>
              <w:jc w:val="center"/>
              <w:rPr>
                <w:b w:val="1"/>
                <w:bCs w:val="1"/>
                <w:sz w:val="16"/>
                <w:szCs w:val="16"/>
              </w:rPr>
            </w:pPr>
            <w:r w:rsidDel="00000000" w:rsidR="00000000" w:rsidRPr="00000000">
              <w:rPr>
                <w:b w:val="1"/>
                <w:bCs w:val="1"/>
                <w:sz w:val="16"/>
                <w:szCs w:val="16"/>
                <w:rtl w:val="0"/>
              </w:rPr>
              <w:t xml:space="preserve">Сигнал по каналу FAM (ДНК </w:t>
            </w:r>
            <w:r w:rsidDel="00000000" w:rsidR="00000000" w:rsidRPr="00000000">
              <w:rPr>
                <w:b w:val="1"/>
                <w:bCs w:val="1"/>
                <w:i w:val="1"/>
                <w:iCs w:val="1"/>
                <w:sz w:val="16"/>
                <w:szCs w:val="16"/>
                <w:rtl w:val="0"/>
              </w:rPr>
              <w:t xml:space="preserve">U. urealytıcum</w:t>
            </w:r>
            <w:r w:rsidDel="00000000" w:rsidR="00000000" w:rsidRPr="00000000">
              <w:rPr>
                <w:b w:val="1"/>
                <w:bCs w:val="1"/>
                <w:sz w:val="16"/>
                <w:szCs w:val="16"/>
                <w:rtl w:val="0"/>
              </w:rPr>
              <w:t xml:space="preserve">)</w:t>
            </w:r>
          </w:p>
        </w:tc>
        <w:tc>
          <w:tcPr>
            <w:shd w:fill="7f7f7f" w:val="clear"/>
            <w:vAlign w:val="center"/>
          </w:tcPr>
          <w:p w:rsidR="00000000" w:rsidDel="00000000" w:rsidP="00000000" w:rsidRDefault="00000000" w:rsidRPr="00000000" w14:paraId="0000015C">
            <w:pPr>
              <w:spacing w:line="240" w:lineRule="auto"/>
              <w:ind w:right="164.17322834645688"/>
              <w:jc w:val="center"/>
              <w:rPr>
                <w:b w:val="1"/>
                <w:bCs w:val="1"/>
                <w:sz w:val="16"/>
                <w:szCs w:val="16"/>
              </w:rPr>
            </w:pPr>
            <w:r w:rsidDel="00000000" w:rsidR="00000000" w:rsidRPr="00000000">
              <w:rPr>
                <w:b w:val="1"/>
                <w:bCs w:val="1"/>
                <w:sz w:val="16"/>
                <w:szCs w:val="16"/>
                <w:rtl w:val="0"/>
              </w:rPr>
              <w:t xml:space="preserve">Сигнал по  каналу HEX (ДНК </w:t>
            </w:r>
            <w:r w:rsidDel="00000000" w:rsidR="00000000" w:rsidRPr="00000000">
              <w:rPr>
                <w:b w:val="1"/>
                <w:bCs w:val="1"/>
                <w:i w:val="1"/>
                <w:iCs w:val="1"/>
                <w:sz w:val="16"/>
                <w:szCs w:val="16"/>
                <w:rtl w:val="0"/>
              </w:rPr>
              <w:t xml:space="preserve">M. genitalium</w:t>
            </w:r>
            <w:r w:rsidDel="00000000" w:rsidR="00000000" w:rsidRPr="00000000">
              <w:rPr>
                <w:b w:val="1"/>
                <w:bCs w:val="1"/>
                <w:sz w:val="16"/>
                <w:szCs w:val="16"/>
                <w:rtl w:val="0"/>
              </w:rPr>
              <w:t xml:space="preserve">)</w:t>
            </w:r>
          </w:p>
        </w:tc>
        <w:tc>
          <w:tcPr>
            <w:shd w:fill="7f7f7f" w:val="clear"/>
          </w:tcPr>
          <w:p w:rsidR="00000000" w:rsidDel="00000000" w:rsidP="00000000" w:rsidRDefault="00000000" w:rsidRPr="00000000" w14:paraId="0000015D">
            <w:pPr>
              <w:spacing w:line="240" w:lineRule="auto"/>
              <w:ind w:right="164.17322834645688"/>
              <w:jc w:val="center"/>
              <w:rPr>
                <w:b w:val="1"/>
                <w:bCs w:val="1"/>
                <w:sz w:val="16"/>
                <w:szCs w:val="16"/>
              </w:rPr>
            </w:pPr>
            <w:r w:rsidDel="00000000" w:rsidR="00000000" w:rsidRPr="00000000">
              <w:rPr>
                <w:b w:val="1"/>
                <w:bCs w:val="1"/>
                <w:sz w:val="16"/>
                <w:szCs w:val="16"/>
                <w:rtl w:val="0"/>
              </w:rPr>
              <w:t xml:space="preserve">Сигнал по каналу ROX (ДНК </w:t>
            </w:r>
            <w:r w:rsidDel="00000000" w:rsidR="00000000" w:rsidRPr="00000000">
              <w:rPr>
                <w:b w:val="1"/>
                <w:bCs w:val="1"/>
                <w:i w:val="1"/>
                <w:iCs w:val="1"/>
                <w:sz w:val="16"/>
                <w:szCs w:val="16"/>
                <w:rtl w:val="0"/>
              </w:rPr>
              <w:t xml:space="preserve">U. parvum</w:t>
            </w:r>
            <w:r w:rsidDel="00000000" w:rsidR="00000000" w:rsidRPr="00000000">
              <w:rPr>
                <w:b w:val="1"/>
                <w:bCs w:val="1"/>
                <w:sz w:val="16"/>
                <w:szCs w:val="16"/>
                <w:rtl w:val="0"/>
              </w:rPr>
              <w:t xml:space="preserve">)</w:t>
            </w:r>
          </w:p>
        </w:tc>
        <w:tc>
          <w:tcPr>
            <w:shd w:fill="7f7f7f" w:val="clear"/>
            <w:vAlign w:val="center"/>
          </w:tcPr>
          <w:p w:rsidR="00000000" w:rsidDel="00000000" w:rsidP="00000000" w:rsidRDefault="00000000" w:rsidRPr="00000000" w14:paraId="0000015E">
            <w:pPr>
              <w:spacing w:line="240" w:lineRule="auto"/>
              <w:ind w:right="164.17322834645688"/>
              <w:jc w:val="center"/>
              <w:rPr>
                <w:b w:val="1"/>
                <w:bCs w:val="1"/>
                <w:sz w:val="16"/>
                <w:szCs w:val="16"/>
              </w:rPr>
            </w:pPr>
            <w:r w:rsidDel="00000000" w:rsidR="00000000" w:rsidRPr="00000000">
              <w:rPr>
                <w:b w:val="1"/>
                <w:bCs w:val="1"/>
                <w:sz w:val="16"/>
                <w:szCs w:val="16"/>
                <w:rtl w:val="0"/>
              </w:rPr>
              <w:t xml:space="preserve">Сигнал по каналу Cy5 (Внутрішній контроль)</w:t>
            </w:r>
          </w:p>
        </w:tc>
        <w:tc>
          <w:tcPr>
            <w:shd w:fill="7f7f7f" w:val="clear"/>
            <w:vAlign w:val="center"/>
          </w:tcPr>
          <w:p w:rsidR="00000000" w:rsidDel="00000000" w:rsidP="00000000" w:rsidRDefault="00000000" w:rsidRPr="00000000" w14:paraId="0000015F">
            <w:pPr>
              <w:spacing w:line="240" w:lineRule="auto"/>
              <w:ind w:right="164.17322834645688"/>
              <w:jc w:val="center"/>
              <w:rPr>
                <w:sz w:val="16"/>
                <w:szCs w:val="16"/>
              </w:rPr>
            </w:pPr>
            <w:r w:rsidDel="00000000" w:rsidR="00000000" w:rsidRPr="00000000">
              <w:rPr>
                <w:b w:val="1"/>
                <w:bCs w:val="1"/>
                <w:sz w:val="16"/>
                <w:szCs w:val="16"/>
                <w:rtl w:val="0"/>
              </w:rPr>
              <w:t xml:space="preserve">Інтерпретація</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0">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1">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vAlign w:val="center"/>
          </w:tcPr>
          <w:p w:rsidR="00000000" w:rsidDel="00000000" w:rsidP="00000000" w:rsidRDefault="00000000" w:rsidRPr="00000000" w14:paraId="00000162">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3">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4">
            <w:pPr>
              <w:spacing w:line="240" w:lineRule="auto"/>
              <w:ind w:right="164.17322834645688"/>
              <w:jc w:val="both"/>
              <w:rPr>
                <w:sz w:val="16"/>
                <w:szCs w:val="16"/>
              </w:rPr>
            </w:pPr>
            <w:r w:rsidDel="00000000" w:rsidR="00000000" w:rsidRPr="00000000">
              <w:rPr>
                <w:sz w:val="16"/>
                <w:szCs w:val="16"/>
                <w:rtl w:val="0"/>
              </w:rPr>
              <w:t xml:space="preserve">Позитивний на ДНК </w:t>
            </w:r>
            <w:r w:rsidDel="00000000" w:rsidR="00000000" w:rsidRPr="00000000">
              <w:rPr>
                <w:b w:val="1"/>
                <w:bCs w:val="1"/>
                <w:i w:val="1"/>
                <w:iCs w:val="1"/>
                <w:sz w:val="16"/>
                <w:szCs w:val="16"/>
                <w:rtl w:val="0"/>
              </w:rPr>
              <w:t xml:space="preserve">Ureaplasma urealytıcum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5">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6">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vAlign w:val="center"/>
          </w:tcPr>
          <w:p w:rsidR="00000000" w:rsidDel="00000000" w:rsidP="00000000" w:rsidRDefault="00000000" w:rsidRPr="00000000" w14:paraId="00000167">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8">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9">
            <w:pPr>
              <w:spacing w:line="240" w:lineRule="auto"/>
              <w:ind w:right="164.17322834645688"/>
              <w:jc w:val="both"/>
              <w:rPr>
                <w:b w:val="1"/>
                <w:bCs w:val="1"/>
                <w:sz w:val="16"/>
                <w:szCs w:val="16"/>
              </w:rPr>
            </w:pPr>
            <w:r w:rsidDel="00000000" w:rsidR="00000000" w:rsidRPr="00000000">
              <w:rPr>
                <w:sz w:val="16"/>
                <w:szCs w:val="16"/>
                <w:rtl w:val="0"/>
              </w:rPr>
              <w:t xml:space="preserve">Позитивний на ДНК </w:t>
            </w:r>
            <w:r w:rsidDel="00000000" w:rsidR="00000000" w:rsidRPr="00000000">
              <w:rPr>
                <w:b w:val="1"/>
                <w:bCs w:val="1"/>
                <w:i w:val="1"/>
                <w:iCs w:val="1"/>
                <w:sz w:val="16"/>
                <w:szCs w:val="16"/>
                <w:rtl w:val="0"/>
              </w:rPr>
              <w:t xml:space="preserve">Mycoplasma genitalium</w:t>
            </w:r>
            <w:r w:rsidDel="00000000" w:rsidR="00000000" w:rsidRPr="00000000">
              <w:rPr>
                <w:b w:val="1"/>
                <w:bCs w:val="1"/>
                <w:sz w:val="16"/>
                <w:szCs w:val="16"/>
                <w:rtl w:val="0"/>
              </w:rPr>
              <w:t xml:space="preserve"> </w:t>
            </w:r>
          </w:p>
        </w:tc>
      </w:tr>
      <w:tr>
        <w:trPr>
          <w:cantSplit w:val="0"/>
          <w:tblHeader w:val="0"/>
        </w:trPr>
        <w:tc>
          <w:tcPr>
            <w:vAlign w:val="center"/>
          </w:tcPr>
          <w:p w:rsidR="00000000" w:rsidDel="00000000" w:rsidP="00000000" w:rsidRDefault="00000000" w:rsidRPr="00000000" w14:paraId="0000016A">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B">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vAlign w:val="center"/>
          </w:tcPr>
          <w:p w:rsidR="00000000" w:rsidDel="00000000" w:rsidP="00000000" w:rsidRDefault="00000000" w:rsidRPr="00000000" w14:paraId="0000016C">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D">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6E">
            <w:pPr>
              <w:spacing w:line="240" w:lineRule="auto"/>
              <w:ind w:right="164.17322834645688"/>
              <w:jc w:val="both"/>
              <w:rPr>
                <w:sz w:val="16"/>
                <w:szCs w:val="16"/>
              </w:rPr>
            </w:pPr>
            <w:r w:rsidDel="00000000" w:rsidR="00000000" w:rsidRPr="00000000">
              <w:rPr>
                <w:sz w:val="16"/>
                <w:szCs w:val="16"/>
                <w:rtl w:val="0"/>
              </w:rPr>
              <w:t xml:space="preserve">Позитивний на ДНК </w:t>
            </w:r>
            <w:r w:rsidDel="00000000" w:rsidR="00000000" w:rsidRPr="00000000">
              <w:rPr>
                <w:b w:val="1"/>
                <w:bCs w:val="1"/>
                <w:i w:val="1"/>
                <w:iCs w:val="1"/>
                <w:sz w:val="16"/>
                <w:szCs w:val="16"/>
                <w:rtl w:val="0"/>
              </w:rPr>
              <w:t xml:space="preserve">Ureaplasma parvum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F">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70">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vAlign w:val="center"/>
          </w:tcPr>
          <w:p w:rsidR="00000000" w:rsidDel="00000000" w:rsidP="00000000" w:rsidRDefault="00000000" w:rsidRPr="00000000" w14:paraId="00000171">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72">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73">
            <w:pPr>
              <w:spacing w:line="240" w:lineRule="auto"/>
              <w:ind w:right="164.17322834645688"/>
              <w:jc w:val="both"/>
              <w:rPr>
                <w:b w:val="1"/>
                <w:bCs w:val="1"/>
                <w:sz w:val="16"/>
                <w:szCs w:val="16"/>
              </w:rPr>
            </w:pPr>
            <w:r w:rsidDel="00000000" w:rsidR="00000000" w:rsidRPr="00000000">
              <w:rPr>
                <w:sz w:val="16"/>
                <w:szCs w:val="16"/>
                <w:rtl w:val="0"/>
              </w:rPr>
              <w:t xml:space="preserve">Результат валідний. Збудник </w:t>
            </w:r>
            <w:r w:rsidDel="00000000" w:rsidR="00000000" w:rsidRPr="00000000">
              <w:rPr>
                <w:b w:val="1"/>
                <w:bCs w:val="1"/>
                <w:sz w:val="16"/>
                <w:szCs w:val="16"/>
                <w:rtl w:val="0"/>
              </w:rPr>
              <w:t xml:space="preserve">не виявлено</w:t>
            </w:r>
          </w:p>
        </w:tc>
      </w:tr>
      <w:tr>
        <w:trPr>
          <w:cantSplit w:val="0"/>
          <w:tblHeader w:val="0"/>
        </w:trPr>
        <w:tc>
          <w:tcPr>
            <w:vAlign w:val="center"/>
          </w:tcPr>
          <w:p w:rsidR="00000000" w:rsidDel="00000000" w:rsidP="00000000" w:rsidRDefault="00000000" w:rsidRPr="00000000" w14:paraId="00000174">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75">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vAlign w:val="center"/>
          </w:tcPr>
          <w:p w:rsidR="00000000" w:rsidDel="00000000" w:rsidP="00000000" w:rsidRDefault="00000000" w:rsidRPr="00000000" w14:paraId="00000176">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77">
            <w:pPr>
              <w:spacing w:line="240" w:lineRule="auto"/>
              <w:ind w:right="164.17322834645688"/>
              <w:jc w:val="center"/>
              <w:rPr>
                <w:b w:val="1"/>
                <w:bCs w:val="1"/>
                <w:sz w:val="16"/>
                <w:szCs w:val="16"/>
              </w:rPr>
            </w:pPr>
            <w:r w:rsidDel="00000000" w:rsidR="00000000" w:rsidRPr="00000000">
              <w:rPr>
                <w:b w:val="1"/>
                <w:bCs w:val="1"/>
                <w:sz w:val="16"/>
                <w:szCs w:val="16"/>
                <w:rtl w:val="0"/>
              </w:rPr>
              <w:t xml:space="preserve">-</w:t>
            </w:r>
          </w:p>
        </w:tc>
        <w:tc>
          <w:tcPr>
            <w:shd w:fill="auto" w:val="clear"/>
            <w:vAlign w:val="center"/>
          </w:tcPr>
          <w:p w:rsidR="00000000" w:rsidDel="00000000" w:rsidP="00000000" w:rsidRDefault="00000000" w:rsidRPr="00000000" w14:paraId="00000178">
            <w:pPr>
              <w:spacing w:line="240" w:lineRule="auto"/>
              <w:ind w:right="164.17322834645688"/>
              <w:jc w:val="both"/>
              <w:rPr>
                <w:sz w:val="16"/>
                <w:szCs w:val="16"/>
              </w:rPr>
            </w:pPr>
            <w:r w:rsidDel="00000000" w:rsidR="00000000" w:rsidRPr="00000000">
              <w:rPr>
                <w:sz w:val="16"/>
                <w:szCs w:val="16"/>
                <w:rtl w:val="0"/>
              </w:rPr>
              <w:t xml:space="preserve">Невалідний результат. Зразок слід повторно протестувати</w:t>
            </w:r>
          </w:p>
        </w:tc>
      </w:tr>
    </w:tbl>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b w:val="1"/>
          <w:bCs w:val="1"/>
          <w:sz w:val="18"/>
          <w:szCs w:val="18"/>
          <w:rtl w:val="0"/>
        </w:rPr>
        <w:t xml:space="preserve">Інформація для замовлення</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40" w:lineRule="auto"/>
        <w:ind w:right="164.17322834645688"/>
        <w:jc w:val="both"/>
        <w:rPr>
          <w:b w:val="1"/>
          <w:bCs w:val="1"/>
          <w:sz w:val="18"/>
          <w:szCs w:val="18"/>
        </w:rPr>
      </w:pPr>
      <w:r w:rsidDel="00000000" w:rsidR="00000000" w:rsidRPr="00000000">
        <w:rPr>
          <w:rtl w:val="0"/>
        </w:rPr>
      </w:r>
    </w:p>
    <w:tbl>
      <w:tblPr>
        <w:tblStyle w:val="Table6"/>
        <w:tblW w:w="5610.0" w:type="dxa"/>
        <w:jc w:val="center"/>
        <w:tblLayout w:type="fixed"/>
        <w:tblLook w:val="0000"/>
      </w:tblPr>
      <w:tblGrid>
        <w:gridCol w:w="2325"/>
        <w:gridCol w:w="1500"/>
        <w:gridCol w:w="1785"/>
        <w:tblGridChange w:id="0">
          <w:tblGrid>
            <w:gridCol w:w="2325"/>
            <w:gridCol w:w="1500"/>
            <w:gridCol w:w="1785"/>
          </w:tblGrid>
        </w:tblGridChange>
      </w:tblGrid>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0" w:lineRule="auto"/>
              <w:ind w:right="164.17322834645688"/>
              <w:jc w:val="center"/>
              <w:rPr>
                <w:b w:val="1"/>
                <w:bCs w:val="1"/>
                <w:sz w:val="18"/>
                <w:szCs w:val="18"/>
              </w:rPr>
            </w:pPr>
            <w:r w:rsidDel="00000000" w:rsidR="00000000" w:rsidRPr="00000000">
              <w:rPr>
                <w:b w:val="1"/>
                <w:bCs w:val="1"/>
                <w:sz w:val="18"/>
                <w:szCs w:val="18"/>
                <w:rtl w:val="0"/>
              </w:rPr>
              <w:t xml:space="preserve">Назва продукту</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ind w:right="164.17322834645688"/>
              <w:jc w:val="center"/>
              <w:rPr>
                <w:b w:val="1"/>
                <w:bCs w:val="1"/>
                <w:sz w:val="18"/>
                <w:szCs w:val="18"/>
              </w:rPr>
            </w:pPr>
            <w:r w:rsidDel="00000000" w:rsidR="00000000" w:rsidRPr="00000000">
              <w:rPr>
                <w:b w:val="1"/>
                <w:bCs w:val="1"/>
                <w:sz w:val="18"/>
                <w:szCs w:val="18"/>
                <w:rtl w:val="0"/>
              </w:rPr>
              <w:t xml:space="preserve">Фасування</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ind w:right="164.17322834645688"/>
              <w:jc w:val="center"/>
              <w:rPr>
                <w:b w:val="1"/>
                <w:bCs w:val="1"/>
                <w:sz w:val="18"/>
                <w:szCs w:val="18"/>
              </w:rPr>
            </w:pPr>
            <w:r w:rsidDel="00000000" w:rsidR="00000000" w:rsidRPr="00000000">
              <w:rPr>
                <w:b w:val="1"/>
                <w:bCs w:val="1"/>
                <w:sz w:val="18"/>
                <w:szCs w:val="18"/>
                <w:rtl w:val="0"/>
              </w:rPr>
              <w:t xml:space="preserve">Каталожний номер</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right="164.17322834645688"/>
              <w:rPr>
                <w:sz w:val="18"/>
                <w:szCs w:val="18"/>
              </w:rPr>
            </w:pPr>
            <w:r w:rsidDel="00000000" w:rsidR="00000000" w:rsidRPr="00000000">
              <w:rPr>
                <w:sz w:val="18"/>
                <w:szCs w:val="18"/>
                <w:rtl w:val="0"/>
              </w:rPr>
              <w:t xml:space="preserve">RevoDx Mycoplasma genitalium/Ureaplasma parvum/urealytıcum qPCR Kit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19" w:line="240" w:lineRule="auto"/>
              <w:ind w:left="103" w:right="164.17322834645688" w:firstLine="0"/>
              <w:jc w:val="center"/>
              <w:rPr>
                <w:sz w:val="18"/>
                <w:szCs w:val="18"/>
              </w:rPr>
            </w:pPr>
            <w:r w:rsidDel="00000000" w:rsidR="00000000" w:rsidRPr="00000000">
              <w:rPr>
                <w:sz w:val="18"/>
                <w:szCs w:val="18"/>
                <w:rtl w:val="0"/>
              </w:rPr>
              <w:t xml:space="preserve">50 тестів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20" w:line="240" w:lineRule="auto"/>
              <w:ind w:left="105" w:right="164.17322834645688" w:firstLine="0"/>
              <w:jc w:val="center"/>
              <w:rPr>
                <w:sz w:val="18"/>
                <w:szCs w:val="18"/>
              </w:rPr>
            </w:pPr>
            <w:r w:rsidDel="00000000" w:rsidR="00000000" w:rsidRPr="00000000">
              <w:rPr>
                <w:sz w:val="18"/>
                <w:szCs w:val="18"/>
                <w:rtl w:val="0"/>
              </w:rPr>
              <w:t xml:space="preserve">IP202416-50</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0" w:lineRule="auto"/>
              <w:ind w:right="164.17322834645688"/>
              <w:rPr>
                <w:sz w:val="18"/>
                <w:szCs w:val="18"/>
              </w:rPr>
            </w:pPr>
            <w:r w:rsidDel="00000000" w:rsidR="00000000" w:rsidRPr="00000000">
              <w:rPr>
                <w:sz w:val="18"/>
                <w:szCs w:val="18"/>
                <w:rtl w:val="0"/>
              </w:rPr>
              <w:t xml:space="preserve">RevoDx Mycoplasma genitalium/Ureaplasma parvum/urealytıcum qPCR Kit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before="19" w:line="240" w:lineRule="auto"/>
              <w:ind w:left="103" w:right="164.17322834645688" w:firstLine="0"/>
              <w:jc w:val="center"/>
              <w:rPr>
                <w:sz w:val="18"/>
                <w:szCs w:val="18"/>
              </w:rPr>
            </w:pPr>
            <w:r w:rsidDel="00000000" w:rsidR="00000000" w:rsidRPr="00000000">
              <w:rPr>
                <w:sz w:val="18"/>
                <w:szCs w:val="18"/>
                <w:rtl w:val="0"/>
              </w:rPr>
              <w:t xml:space="preserve">100 тестів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20" w:line="240" w:lineRule="auto"/>
              <w:ind w:left="105" w:right="164.17322834645688" w:firstLine="0"/>
              <w:jc w:val="center"/>
              <w:rPr>
                <w:sz w:val="18"/>
                <w:szCs w:val="18"/>
              </w:rPr>
            </w:pPr>
            <w:r w:rsidDel="00000000" w:rsidR="00000000" w:rsidRPr="00000000">
              <w:rPr>
                <w:sz w:val="18"/>
                <w:szCs w:val="18"/>
                <w:rtl w:val="0"/>
              </w:rPr>
              <w:t xml:space="preserve">IP202416-100</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40" w:lineRule="auto"/>
              <w:ind w:right="164.17322834645688"/>
              <w:rPr>
                <w:sz w:val="18"/>
                <w:szCs w:val="18"/>
              </w:rPr>
            </w:pPr>
            <w:r w:rsidDel="00000000" w:rsidR="00000000" w:rsidRPr="00000000">
              <w:rPr>
                <w:sz w:val="18"/>
                <w:szCs w:val="18"/>
                <w:rtl w:val="0"/>
              </w:rPr>
              <w:t xml:space="preserve">RevoDx Mycoplasma genitalium/Ureaplasma parvum/urealytıcum qPCR Kit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19" w:line="240" w:lineRule="auto"/>
              <w:ind w:left="103" w:right="164.17322834645688" w:firstLine="0"/>
              <w:jc w:val="center"/>
              <w:rPr>
                <w:sz w:val="18"/>
                <w:szCs w:val="18"/>
              </w:rPr>
            </w:pPr>
            <w:r w:rsidDel="00000000" w:rsidR="00000000" w:rsidRPr="00000000">
              <w:rPr>
                <w:sz w:val="18"/>
                <w:szCs w:val="18"/>
                <w:rtl w:val="0"/>
              </w:rPr>
              <w:t xml:space="preserve">500 тестів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20" w:line="240" w:lineRule="auto"/>
              <w:ind w:left="105" w:right="164.17322834645688" w:firstLine="0"/>
              <w:jc w:val="center"/>
              <w:rPr>
                <w:sz w:val="18"/>
                <w:szCs w:val="18"/>
              </w:rPr>
            </w:pPr>
            <w:r w:rsidDel="00000000" w:rsidR="00000000" w:rsidRPr="00000000">
              <w:rPr>
                <w:sz w:val="18"/>
                <w:szCs w:val="18"/>
                <w:rtl w:val="0"/>
              </w:rPr>
              <w:t xml:space="preserve">IP202416-500</w:t>
            </w:r>
          </w:p>
        </w:tc>
      </w:tr>
    </w:tbl>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164.17322834645688"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17322834645688"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D">
      <w:pPr>
        <w:tabs>
          <w:tab w:val="left" w:leader="none" w:pos="271"/>
        </w:tabs>
        <w:spacing w:before="60" w:line="240" w:lineRule="auto"/>
        <w:ind w:right="164.17322834645688"/>
        <w:rPr>
          <w:sz w:val="18"/>
          <w:szCs w:val="18"/>
        </w:rPr>
      </w:pPr>
      <w:r w:rsidDel="00000000" w:rsidR="00000000" w:rsidRPr="00000000">
        <w:rPr>
          <w:sz w:val="18"/>
          <w:szCs w:val="18"/>
          <w:rtl w:val="0"/>
        </w:rPr>
        <w:t xml:space="preserve">.</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64.17322834645688" w:firstLine="0"/>
        <w:jc w:val="left"/>
        <w:rPr>
          <w:i w:val="0"/>
          <w:iCs w:val="0"/>
          <w:smallCaps w:val="0"/>
          <w:strike w:val="0"/>
          <w:sz w:val="18"/>
          <w:szCs w:val="18"/>
          <w:u w:val="none"/>
          <w:shd w:fill="auto" w:val="clear"/>
          <w:vertAlign w:val="baseline"/>
        </w:rPr>
      </w:pPr>
      <w:r w:rsidDel="00000000" w:rsidR="00000000" w:rsidRPr="00000000">
        <w:rPr>
          <w:rtl w:val="0"/>
        </w:rPr>
      </w:r>
    </w:p>
    <w:sectPr>
      <w:headerReference r:id="rId12" w:type="first"/>
      <w:footerReference r:id="rId13" w:type="default"/>
      <w:footerReference r:id="rId14" w:type="first"/>
      <w:pgSz w:h="16840" w:w="11910" w:orient="portrait"/>
      <w:pgMar w:bottom="1134" w:top="426" w:left="426" w:right="286" w:header="0" w:footer="0"/>
      <w:pgNumType w:start="1"/>
      <w:cols w:equalWidth="0" w:num="2">
        <w:col w:space="113" w:w="5542.500000000001"/>
        <w:col w:space="0" w:w="5542.500000000001"/>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6400800</wp:posOffset>
              </wp:positionH>
              <wp:positionV relativeFrom="paragraph">
                <wp:posOffset>10528300</wp:posOffset>
              </wp:positionV>
              <wp:extent cx="131445" cy="175260"/>
              <wp:effectExtent b="0" l="0" r="0" t="0"/>
              <wp:wrapNone/>
              <wp:docPr id="1201822497" name=""/>
              <a:graphic>
                <a:graphicData uri="http://schemas.microsoft.com/office/word/2010/wordprocessingShape">
                  <wps:wsp>
                    <wps:cNvSpPr/>
                    <wps:cNvPr id="15" name="Shape 15"/>
                    <wps:spPr>
                      <a:xfrm>
                        <a:off x="5555550" y="3697133"/>
                        <a:ext cx="121920" cy="165735"/>
                      </a:xfrm>
                      <a:custGeom>
                        <a:rect b="b" l="l" r="r" t="t"/>
                        <a:pathLst>
                          <a:path extrusionOk="0" h="165735" w="121920">
                            <a:moveTo>
                              <a:pt x="0" y="0"/>
                            </a:moveTo>
                            <a:lnTo>
                              <a:pt x="0" y="165735"/>
                            </a:lnTo>
                            <a:lnTo>
                              <a:pt x="121920" y="165735"/>
                            </a:lnTo>
                            <a:lnTo>
                              <a:pt x="121920" y="0"/>
                            </a:lnTo>
                            <a:close/>
                          </a:path>
                        </a:pathLst>
                      </a:custGeom>
                      <a:noFill/>
                      <a:ln>
                        <a:noFill/>
                      </a:ln>
                    </wps:spPr>
                    <wps:txbx>
                      <w:txbxContent>
                        <w:p w:rsidR="00000000" w:rsidDel="00000000" w:rsidP="00000000" w:rsidRDefault="00000000" w:rsidRPr="00000000">
                          <w:pPr>
                            <w:spacing w:after="0" w:before="0" w:line="245.00000953674316"/>
                            <w:ind w:left="4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6400800</wp:posOffset>
              </wp:positionH>
              <wp:positionV relativeFrom="paragraph">
                <wp:posOffset>10528300</wp:posOffset>
              </wp:positionV>
              <wp:extent cx="131445" cy="175260"/>
              <wp:effectExtent b="0" l="0" r="0" t="0"/>
              <wp:wrapNone/>
              <wp:docPr id="1201822497"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31445" cy="17526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5156200</wp:posOffset>
              </wp:positionH>
              <wp:positionV relativeFrom="paragraph">
                <wp:posOffset>10147300</wp:posOffset>
              </wp:positionV>
              <wp:extent cx="1981835" cy="233045"/>
              <wp:effectExtent b="0" l="0" r="0" t="0"/>
              <wp:wrapNone/>
              <wp:docPr id="1201822493" name=""/>
              <a:graphic>
                <a:graphicData uri="http://schemas.microsoft.com/office/word/2010/wordprocessingShape">
                  <wps:wsp>
                    <wps:cNvSpPr/>
                    <wps:cNvPr id="11" name="Shape 11"/>
                    <wps:spPr>
                      <a:xfrm>
                        <a:off x="4630355" y="3668240"/>
                        <a:ext cx="1972310" cy="223520"/>
                      </a:xfrm>
                      <a:custGeom>
                        <a:rect b="b" l="l" r="r" t="t"/>
                        <a:pathLst>
                          <a:path extrusionOk="0" h="223520" w="1972310">
                            <a:moveTo>
                              <a:pt x="0" y="0"/>
                            </a:moveTo>
                            <a:lnTo>
                              <a:pt x="0" y="223520"/>
                            </a:lnTo>
                            <a:lnTo>
                              <a:pt x="1972310" y="223520"/>
                            </a:lnTo>
                            <a:lnTo>
                              <a:pt x="1972310" y="0"/>
                            </a:lnTo>
                            <a:close/>
                          </a:path>
                        </a:pathLst>
                      </a:custGeom>
                      <a:noFill/>
                      <a:ln>
                        <a:noFill/>
                      </a:ln>
                    </wps:spPr>
                    <wps:txbx>
                      <w:txbxContent>
                        <w:p w:rsidR="00000000" w:rsidDel="00000000" w:rsidP="00000000" w:rsidRDefault="00000000" w:rsidRPr="00000000">
                          <w:pPr>
                            <w:spacing w:after="0" w:before="0" w:line="180"/>
                            <w:ind w:left="282.99999237060547"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t xml:space="preserve">Док.№ / Ред.№ : KK202416/ -</w:t>
                          </w:r>
                        </w:p>
                        <w:p w:rsidR="00000000" w:rsidDel="00000000" w:rsidP="00000000" w:rsidRDefault="00000000" w:rsidRPr="00000000">
                          <w:pPr>
                            <w:spacing w:after="0" w:before="2.0000000298023224" w:line="240"/>
                            <w:ind w:left="20"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Дата випуску / Дата перегляду : 07.01.2022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5156200</wp:posOffset>
              </wp:positionH>
              <wp:positionV relativeFrom="paragraph">
                <wp:posOffset>10147300</wp:posOffset>
              </wp:positionV>
              <wp:extent cx="1981835" cy="233045"/>
              <wp:effectExtent b="0" l="0" r="0" t="0"/>
              <wp:wrapNone/>
              <wp:docPr id="1201822493"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981835" cy="23304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3416300</wp:posOffset>
              </wp:positionH>
              <wp:positionV relativeFrom="paragraph">
                <wp:posOffset>10083800</wp:posOffset>
              </wp:positionV>
              <wp:extent cx="1379220" cy="339725"/>
              <wp:effectExtent b="0" l="0" r="0" t="0"/>
              <wp:wrapNone/>
              <wp:docPr id="1201822494" name=""/>
              <a:graphic>
                <a:graphicData uri="http://schemas.microsoft.com/office/word/2010/wordprocessingShape">
                  <wps:wsp>
                    <wps:cNvSpPr/>
                    <wps:cNvPr id="12" name="Shape 12"/>
                    <wps:spPr>
                      <a:xfrm>
                        <a:off x="4931663" y="3614900"/>
                        <a:ext cx="1369695" cy="330200"/>
                      </a:xfrm>
                      <a:custGeom>
                        <a:rect b="b" l="l" r="r" t="t"/>
                        <a:pathLst>
                          <a:path extrusionOk="0" h="330200" w="1369695">
                            <a:moveTo>
                              <a:pt x="0" y="0"/>
                            </a:moveTo>
                            <a:lnTo>
                              <a:pt x="0" y="330200"/>
                            </a:lnTo>
                            <a:lnTo>
                              <a:pt x="1369695" y="330200"/>
                            </a:lnTo>
                            <a:lnTo>
                              <a:pt x="1369695"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Телефон: +90 262 644 1614</w:t>
                          </w:r>
                        </w:p>
                        <w:p w:rsidR="00000000" w:rsidDel="00000000" w:rsidP="00000000" w:rsidRDefault="00000000" w:rsidRPr="00000000">
                          <w:pPr>
                            <w:spacing w:after="0" w:before="4.000000059604645" w:line="234.99999046325684"/>
                            <w:ind w:left="20" w:right="-1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3416300</wp:posOffset>
              </wp:positionH>
              <wp:positionV relativeFrom="paragraph">
                <wp:posOffset>10083800</wp:posOffset>
              </wp:positionV>
              <wp:extent cx="1379220" cy="339725"/>
              <wp:effectExtent b="0" l="0" r="0" t="0"/>
              <wp:wrapNone/>
              <wp:docPr id="1201822494"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37922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1473200</wp:posOffset>
              </wp:positionH>
              <wp:positionV relativeFrom="paragraph">
                <wp:posOffset>10071100</wp:posOffset>
              </wp:positionV>
              <wp:extent cx="1734820" cy="339725"/>
              <wp:effectExtent b="0" l="0" r="0" t="0"/>
              <wp:wrapNone/>
              <wp:docPr id="1201822496" name=""/>
              <a:graphic>
                <a:graphicData uri="http://schemas.microsoft.com/office/word/2010/wordprocessingShape">
                  <wps:wsp>
                    <wps:cNvSpPr/>
                    <wps:cNvPr id="14" name="Shape 14"/>
                    <wps:spPr>
                      <a:xfrm>
                        <a:off x="4753863" y="3614900"/>
                        <a:ext cx="1725295" cy="330200"/>
                      </a:xfrm>
                      <a:custGeom>
                        <a:rect b="b" l="l" r="r" t="t"/>
                        <a:pathLst>
                          <a:path extrusionOk="0" h="330200" w="1725295">
                            <a:moveTo>
                              <a:pt x="0" y="0"/>
                            </a:moveTo>
                            <a:lnTo>
                              <a:pt x="0" y="330200"/>
                            </a:lnTo>
                            <a:lnTo>
                              <a:pt x="1725295" y="330200"/>
                            </a:lnTo>
                            <a:lnTo>
                              <a:pt x="1725295"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4.000000059604645" w:line="234.99999046325684"/>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1473200</wp:posOffset>
              </wp:positionH>
              <wp:positionV relativeFrom="paragraph">
                <wp:posOffset>10071100</wp:posOffset>
              </wp:positionV>
              <wp:extent cx="1734820" cy="339725"/>
              <wp:effectExtent b="0" l="0" r="0" t="0"/>
              <wp:wrapNone/>
              <wp:docPr id="1201822496"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73482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127000</wp:posOffset>
              </wp:positionH>
              <wp:positionV relativeFrom="paragraph">
                <wp:posOffset>9969500</wp:posOffset>
              </wp:positionV>
              <wp:extent cx="6383020" cy="504190"/>
              <wp:effectExtent b="0" l="0" r="0" t="0"/>
              <wp:wrapNone/>
              <wp:docPr id="1201822492" name=""/>
              <a:graphic>
                <a:graphicData uri="http://schemas.microsoft.com/office/word/2010/wordprocessingGroup">
                  <wpg:wgp>
                    <wpg:cNvGrpSpPr/>
                    <wpg:grpSpPr>
                      <a:xfrm>
                        <a:off x="2425000" y="3527900"/>
                        <a:ext cx="6383020" cy="504190"/>
                        <a:chOff x="2425000" y="3527900"/>
                        <a:chExt cx="6383025" cy="504200"/>
                      </a:xfrm>
                    </wpg:grpSpPr>
                    <wpg:grpSp>
                      <wpg:cNvGrpSpPr/>
                      <wpg:grpSpPr>
                        <a:xfrm>
                          <a:off x="2425001" y="3527905"/>
                          <a:ext cx="6383000" cy="504175"/>
                          <a:chOff x="0" y="0"/>
                          <a:chExt cx="6383000" cy="504175"/>
                        </a:xfrm>
                      </wpg:grpSpPr>
                      <wps:wsp>
                        <wps:cNvSpPr/>
                        <wps:cNvPr id="3" name="Shape 3"/>
                        <wps:spPr>
                          <a:xfrm>
                            <a:off x="0" y="0"/>
                            <a:ext cx="6383000" cy="50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16585" y="59055"/>
                            <a:ext cx="68897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1305560"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11910" y="59055"/>
                            <a:ext cx="19177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3229609"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235960" y="59055"/>
                            <a:ext cx="12560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4491355"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497705" y="59055"/>
                            <a:ext cx="188468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127000</wp:posOffset>
              </wp:positionH>
              <wp:positionV relativeFrom="paragraph">
                <wp:posOffset>9969500</wp:posOffset>
              </wp:positionV>
              <wp:extent cx="6383020" cy="504190"/>
              <wp:effectExtent b="0" l="0" r="0" t="0"/>
              <wp:wrapNone/>
              <wp:docPr id="120182249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383020" cy="5041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spacing w:line="276" w:lineRule="auto"/>
      <w:rPr>
        <w:rFonts w:ascii="Liberation Serif" w:cs="Liberation Serif" w:eastAsia="Liberation Serif" w:hAnsi="Liberation Serif"/>
        <w:sz w:val="24"/>
        <w:szCs w:val="24"/>
      </w:rPr>
    </w:pPr>
    <w:r w:rsidDel="00000000" w:rsidR="00000000" w:rsidRPr="00000000">
      <w:rPr>
        <w:rtl w:val="0"/>
      </w:rPr>
    </w:r>
  </w:p>
  <w:tbl>
    <w:tblPr>
      <w:tblStyle w:val="Table7"/>
      <w:tblW w:w="10939.0" w:type="dxa"/>
      <w:jc w:val="left"/>
      <w:tblInd w:w="-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3"/>
      <w:gridCol w:w="3022.0000000000005"/>
      <w:gridCol w:w="2167"/>
      <w:gridCol w:w="3117"/>
      <w:tblGridChange w:id="0">
        <w:tblGrid>
          <w:gridCol w:w="2633"/>
          <w:gridCol w:w="3022.0000000000005"/>
          <w:gridCol w:w="2167"/>
          <w:gridCol w:w="3117"/>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92">
          <w:pPr>
            <w:widowControl w:val="1"/>
            <w:ind w:left="141.73228346456688" w:right="431.14960629921416" w:firstLine="0"/>
            <w:rPr>
              <w:color w:val="434343"/>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-3173</wp:posOffset>
                </wp:positionH>
                <wp:positionV relativeFrom="paragraph">
                  <wp:posOffset>49530</wp:posOffset>
                </wp:positionV>
                <wp:extent cx="774700" cy="504190"/>
                <wp:effectExtent b="0" l="0" r="0" t="0"/>
                <wp:wrapNone/>
                <wp:docPr id="120182250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4700" cy="5041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771525</wp:posOffset>
                </wp:positionH>
                <wp:positionV relativeFrom="paragraph">
                  <wp:posOffset>209362</wp:posOffset>
                </wp:positionV>
                <wp:extent cx="722586" cy="190500"/>
                <wp:effectExtent b="0" l="0" r="0" t="0"/>
                <wp:wrapNone/>
                <wp:docPr id="120182250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22586" cy="190500"/>
                        </a:xfrm>
                        <a:prstGeom prst="rect"/>
                        <a:ln/>
                      </pic:spPr>
                    </pic:pic>
                  </a:graphicData>
                </a:graphic>
              </wp:anchor>
            </w:drawing>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93">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94">
          <w:pPr>
            <w:tabs>
              <w:tab w:val="right" w:leader="none" w:pos="9072"/>
            </w:tabs>
            <w:ind w:right="-212.71653543307025"/>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İDİL BİOTECH ARAŞTIRMA SAN. VE TİC. LTD. ŞTİ.</w:t>
          </w:r>
        </w:p>
        <w:p w:rsidR="00000000" w:rsidDel="00000000" w:rsidP="00000000" w:rsidRDefault="00000000" w:rsidRPr="00000000" w14:paraId="00000195">
          <w:pPr>
            <w:tabs>
              <w:tab w:val="right" w:leader="none" w:pos="9072"/>
            </w:tabs>
            <w:ind w:right="112.08661417322844"/>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Barış SB Mah. 5003 Sk Kadir Has Binası Kısım A No: 2 İç Kapı No: Z14 Gebze-Kocaeli-TURKEY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96">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97">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Телефон: +90 262 644 1614</w:t>
          </w:r>
        </w:p>
        <w:p w:rsidR="00000000" w:rsidDel="00000000" w:rsidP="00000000" w:rsidRDefault="00000000" w:rsidRPr="00000000" w14:paraId="00000198">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e-mail: info@idilbiotech.com</w:t>
          </w:r>
        </w:p>
        <w:p w:rsidR="00000000" w:rsidDel="00000000" w:rsidP="00000000" w:rsidRDefault="00000000" w:rsidRPr="00000000" w14:paraId="00000199">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http://www.idilbiotech.com/</w:t>
          </w:r>
        </w:p>
        <w:p w:rsidR="00000000" w:rsidDel="00000000" w:rsidP="00000000" w:rsidRDefault="00000000" w:rsidRPr="00000000" w14:paraId="0000019A">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B">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https://mbalabs.com.ua/</w:t>
          </w:r>
        </w:p>
        <w:p w:rsidR="00000000" w:rsidDel="00000000" w:rsidP="00000000" w:rsidRDefault="00000000" w:rsidRPr="00000000" w14:paraId="0000019C">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Менеджер з продажів: 067 409 45 67,</w:t>
          </w:r>
        </w:p>
        <w:p w:rsidR="00000000" w:rsidDel="00000000" w:rsidP="00000000" w:rsidRDefault="00000000" w:rsidRPr="00000000" w14:paraId="0000019D">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067 409 51 99, </w:t>
          </w:r>
          <w:hyperlink r:id="rId3">
            <w:r w:rsidDel="00000000" w:rsidR="00000000" w:rsidRPr="00000000">
              <w:rPr>
                <w:rFonts w:ascii="Calibri" w:cs="Calibri" w:eastAsia="Calibri" w:hAnsi="Calibri"/>
                <w:color w:val="0000ee"/>
                <w:sz w:val="14"/>
                <w:szCs w:val="14"/>
                <w:highlight w:val="white"/>
                <w:u w:val="single"/>
                <w:rtl w:val="0"/>
              </w:rPr>
              <w:t xml:space="preserve">info@mbalabs.com.ua</w:t>
            </w:r>
          </w:hyperlink>
          <w:r w:rsidDel="00000000" w:rsidR="00000000" w:rsidRPr="00000000">
            <w:rPr>
              <w:rtl w:val="0"/>
            </w:rPr>
          </w:r>
        </w:p>
        <w:p w:rsidR="00000000" w:rsidDel="00000000" w:rsidP="00000000" w:rsidRDefault="00000000" w:rsidRPr="00000000" w14:paraId="0000019E">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Спеціаліст по роботі з реагентами: 097 162 78 38, plr.assistant@mbalabs.com.ua</w:t>
          </w:r>
        </w:p>
      </w:tc>
    </w:tr>
  </w:tbl>
  <w:p w:rsidR="00000000" w:rsidDel="00000000" w:rsidP="00000000" w:rsidRDefault="00000000" w:rsidRPr="00000000" w14:paraId="0000019F">
    <w:pPr>
      <w:widowControl w:val="1"/>
      <w:ind w:left="0" w:right="431.14960629921416"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23" w:right="925"/>
      <w:jc w:val="center"/>
    </w:pPr>
    <w:rPr>
      <w:b w:val="1"/>
      <w:bCs w:val="1"/>
      <w:sz w:val="32"/>
      <w:szCs w:val="32"/>
    </w:rPr>
  </w:style>
  <w:style w:type="paragraph" w:styleId="Heading2">
    <w:name w:val="heading 2"/>
    <w:basedOn w:val="Normal"/>
    <w:next w:val="Normal"/>
    <w:pPr>
      <w:spacing w:line="275" w:lineRule="auto"/>
      <w:ind w:left="923" w:right="916"/>
      <w:jc w:val="center"/>
    </w:pPr>
    <w:rPr>
      <w:b w:val="1"/>
      <w:bCs w:val="1"/>
      <w:sz w:val="24"/>
      <w:szCs w:val="24"/>
    </w:rPr>
  </w:style>
  <w:style w:type="paragraph" w:styleId="Heading3">
    <w:name w:val="heading 3"/>
    <w:basedOn w:val="Normal"/>
    <w:next w:val="Normal"/>
    <w:pPr>
      <w:ind w:left="116"/>
      <w:jc w:val="both"/>
    </w:pPr>
    <w:rPr>
      <w:b w:val="1"/>
      <w:bCs w:val="1"/>
      <w:sz w:val="20"/>
      <w:szCs w:val="20"/>
    </w:rPr>
  </w:style>
  <w:style w:type="paragraph" w:styleId="Heading4">
    <w:name w:val="heading 4"/>
    <w:basedOn w:val="Normal"/>
    <w:next w:val="Normal"/>
    <w:pPr>
      <w:ind w:left="116"/>
    </w:pPr>
    <w:rPr>
      <w:b w:val="1"/>
      <w:bCs w:val="1"/>
      <w:sz w:val="16"/>
      <w:szCs w:val="1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Arial" w:cs="Arial" w:eastAsia="Arial" w:hAnsi="Arial"/>
      <w:lang w:bidi="tr-TR" w:eastAsia="tr-TR" w:val="tr-TR"/>
    </w:rPr>
  </w:style>
  <w:style w:type="paragraph" w:styleId="Heading1">
    <w:name w:val="heading 1"/>
    <w:basedOn w:val="Normal"/>
    <w:uiPriority w:val="9"/>
    <w:qFormat w:val="1"/>
    <w:pPr>
      <w:ind w:left="923" w:right="925"/>
      <w:jc w:val="center"/>
      <w:outlineLvl w:val="0"/>
    </w:pPr>
    <w:rPr>
      <w:b w:val="1"/>
      <w:bCs w:val="1"/>
      <w:sz w:val="32"/>
      <w:szCs w:val="32"/>
    </w:rPr>
  </w:style>
  <w:style w:type="paragraph" w:styleId="Heading2">
    <w:name w:val="heading 2"/>
    <w:basedOn w:val="Normal"/>
    <w:uiPriority w:val="9"/>
    <w:unhideWhenUsed w:val="1"/>
    <w:qFormat w:val="1"/>
    <w:pPr>
      <w:spacing w:line="275" w:lineRule="exact"/>
      <w:ind w:left="923" w:right="916"/>
      <w:jc w:val="center"/>
      <w:outlineLvl w:val="1"/>
    </w:pPr>
    <w:rPr>
      <w:b w:val="1"/>
      <w:bCs w:val="1"/>
      <w:sz w:val="24"/>
      <w:szCs w:val="24"/>
    </w:rPr>
  </w:style>
  <w:style w:type="paragraph" w:styleId="Heading3">
    <w:name w:val="heading 3"/>
    <w:basedOn w:val="Normal"/>
    <w:uiPriority w:val="9"/>
    <w:unhideWhenUsed w:val="1"/>
    <w:qFormat w:val="1"/>
    <w:pPr>
      <w:ind w:left="116"/>
      <w:jc w:val="both"/>
      <w:outlineLvl w:val="2"/>
    </w:pPr>
    <w:rPr>
      <w:b w:val="1"/>
      <w:bCs w:val="1"/>
      <w:sz w:val="20"/>
      <w:szCs w:val="20"/>
    </w:rPr>
  </w:style>
  <w:style w:type="paragraph" w:styleId="Heading4">
    <w:name w:val="heading 4"/>
    <w:basedOn w:val="Normal"/>
    <w:uiPriority w:val="9"/>
    <w:unhideWhenUsed w:val="1"/>
    <w:qFormat w:val="1"/>
    <w:pPr>
      <w:ind w:left="116"/>
      <w:outlineLvl w:val="3"/>
    </w:pPr>
    <w:rPr>
      <w:b w:val="1"/>
      <w:bCs w:val="1"/>
      <w:sz w:val="16"/>
      <w:szCs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4"/>
      <w:szCs w:val="14"/>
    </w:rPr>
  </w:style>
  <w:style w:type="paragraph" w:styleId="ListParagraph">
    <w:name w:val="List Paragraph"/>
    <w:basedOn w:val="Normal"/>
    <w:uiPriority w:val="1"/>
    <w:qFormat w:val="1"/>
    <w:pPr>
      <w:spacing w:line="160" w:lineRule="exact"/>
      <w:ind w:left="260" w:hanging="144"/>
    </w:pPr>
  </w:style>
  <w:style w:type="paragraph" w:styleId="TableParagraph" w:customStyle="1">
    <w:name w:val="Table Paragraph"/>
    <w:basedOn w:val="Normal"/>
    <w:uiPriority w:val="1"/>
    <w:qFormat w:val="1"/>
    <w:pPr>
      <w:spacing w:before="3" w:line="140" w:lineRule="exact"/>
      <w:ind w:left="110"/>
    </w:pPr>
  </w:style>
  <w:style w:type="paragraph" w:styleId="Header">
    <w:name w:val="header"/>
    <w:basedOn w:val="Normal"/>
    <w:link w:val="HeaderChar"/>
    <w:uiPriority w:val="99"/>
    <w:unhideWhenUsed w:val="1"/>
    <w:rsid w:val="00C94C77"/>
    <w:pPr>
      <w:tabs>
        <w:tab w:val="center" w:pos="4677"/>
        <w:tab w:val="right" w:pos="9355"/>
      </w:tabs>
    </w:pPr>
  </w:style>
  <w:style w:type="character" w:styleId="HeaderChar" w:customStyle="1">
    <w:name w:val="Header Char"/>
    <w:basedOn w:val="DefaultParagraphFont"/>
    <w:link w:val="Header"/>
    <w:uiPriority w:val="99"/>
    <w:rsid w:val="00C94C77"/>
    <w:rPr>
      <w:rFonts w:ascii="Arial" w:cs="Arial" w:eastAsia="Arial" w:hAnsi="Arial"/>
      <w:lang w:bidi="tr-TR" w:eastAsia="tr-TR" w:val="tr-TR"/>
    </w:rPr>
  </w:style>
  <w:style w:type="paragraph" w:styleId="Footer">
    <w:name w:val="footer"/>
    <w:basedOn w:val="Normal"/>
    <w:link w:val="FooterChar"/>
    <w:uiPriority w:val="99"/>
    <w:unhideWhenUsed w:val="1"/>
    <w:rsid w:val="00C94C77"/>
    <w:pPr>
      <w:tabs>
        <w:tab w:val="center" w:pos="4677"/>
        <w:tab w:val="right" w:pos="9355"/>
      </w:tabs>
    </w:pPr>
  </w:style>
  <w:style w:type="character" w:styleId="FooterChar" w:customStyle="1">
    <w:name w:val="Footer Char"/>
    <w:basedOn w:val="DefaultParagraphFont"/>
    <w:link w:val="Footer"/>
    <w:uiPriority w:val="99"/>
    <w:rsid w:val="00C94C77"/>
    <w:rPr>
      <w:rFonts w:ascii="Arial" w:cs="Arial" w:eastAsia="Arial" w:hAnsi="Arial"/>
      <w:lang w:bidi="tr-TR"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2.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 Id="rId3" Type="http://schemas.openxmlformats.org/officeDocument/2006/relationships/hyperlink" Target="mailto:info@mbalabs.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WHrNRhgKLU0hijcoLloxBZcXw==">CgMxLjAyDmgubWQ1bHM5a3J0bjZyMghoLmdqZGd4czIOaC5jcjhzaXF5MThrazMyDmguZmM4NDZyM2pmaWFxMg5oLnc5cTUxaHNxaHNtdzgAciExa2UwNWg2aHNnOGlWN0ZJLTRvcTdRRDB3OWp4YlZaYk8=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2024-08-22T13:28:00Z</dcterms:created>
  <dc:creator>Bahadır Akdemir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Microsoft® Word Microsoft 365 için</vt:lpwstr>
  </property>
  <property fmtid="{D5CDD505-2E9C-101B-9397-08002B2CF9AE}" pid="4" name="LastSaved">
    <vt:filetime>2024-08-22T00:00:00Z</vt:filetime>
  </property>
</Properties>
</file>